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NW_31257 (Nordrhein-Westfalen) — Friedhofsträger und –verwaltung</w:t>
      </w:r>
    </w:p>
    <w:p>
      <w:r>
        <w:rPr>
          <w:color w:val="555555"/>
          <w:sz w:val="18"/>
        </w:rPr>
        <w:t xml:space="preserve">Satzung für den Privatfriedhof Kloster Dalheim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Landschaftsverband Westfalen-Lippe (LWL) ist Eigentümer und Träger des Privatfriedhofs. Die Verwaltung des Privatfriedhofs obliegt der Stiftung Kloster Dalheim. LWL-Landesmuseum für Klosterkultur (im Folgenden: Friedhofsverwaltung).</w:t>
      </w:r>
    </w:p>
    <w:p>
      <w:r>
        <w:rPr>
          <w:color w:val="555555"/>
          <w:sz w:val="17"/>
        </w:rPr>
        <w:t xml:space="preserve">Zitiervorschlag: § 2 NW_31257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https://recht.nulegal.eu/gesetze/NW_31257/2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