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NW_31257 (Nordrhein-Westfalen) — Inkrafttreten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am Tag nach der Bekanntmachung in Kraft.</w:t>
      </w:r>
    </w:p>
    <w:p>
      <w:r>
        <w:t xml:space="preserve">Münster, den 5. Februar 2015</w:t>
      </w:r>
    </w:p>
    <w:p>
      <w:r>
        <w:t xml:space="preserve">Dieter G e b h a r d</w:t>
      </w:r>
    </w:p>
    <w:p>
      <w:r>
        <w:t xml:space="preserve">Vorsitzender der</w:t>
      </w:r>
    </w:p>
    <w:p>
      <w:r>
        <w:t xml:space="preserve">14. Landschaftsversammlung</w:t>
      </w:r>
    </w:p>
    <w:p>
      <w:r>
        <w:t xml:space="preserve">Matthias L ö b</w:t>
      </w:r>
    </w:p>
    <w:p>
      <w:r>
        <w:t xml:space="preserve">Schriftführer der</w:t>
      </w:r>
    </w:p>
    <w:p>
      <w:r>
        <w:t xml:space="preserve">14. Landschaftsversammlung</w:t>
      </w:r>
    </w:p>
    <w:p>
      <w:r>
        <w:t xml:space="preserve">Die vorstehende Satzung des Landschaftsverbandes Westfalen-Lippe wird gemäß § 6 Absatz 2 der Landschaftsverbandsordnung für das Land Nordrhein-Westfalen vom 14. Juli 1994 (GV. NRW. S. 657) in der zurzeit geltenden Fassung bekannt gemacht.</w:t>
      </w:r>
    </w:p>
    <w:p>
      <w:r>
        <w:t xml:space="preserve">Nach § 6 Absatz 3 Landschaftsverbandsordnung kann die Verletzung von Verfahrens- oder Formvorschriften der Landschaftsverbandsordnung gegen Satzungen nach Ablauf eines Jahres seit ihrer Verkündung nicht mehr geltend gemacht werden kann,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5. Februar 2015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Matthias L ö b</w:t>
      </w:r>
    </w:p>
    <w:p>
      <w:r>
        <w:t xml:space="preserve">1 Im Folgenden wird auf Grund der besseren Lesbarkeit bei Personenbezeichnungen lediglich die maskuline Form verwendet; gemeint sind selbstverständlich immer Personen beiderlei Geschlechts.</w:t>
      </w:r>
    </w:p>
    <w:p>
      <w:r>
        <w:rPr>
          <w:color w:val="555555"/>
          <w:sz w:val="17"/>
        </w:rPr>
        <w:t xml:space="preserve">Zitiervorschlag: § 19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