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NW_31257 (Nordrhein-Westfalen) — Haftung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Jeder Nutzungsberechtigte haftet dem Friedhofsträger und Dritten gegenüber für alle Schäden, welche durch den Verstoß gegen die Vorschriften dieser Satzung entstehen.</w:t>
      </w:r>
    </w:p>
    <w:p>
      <w:r>
        <w:t xml:space="preserve">(2) Friedhofsträger und/ oder -verwaltung haften nicht für Schäden, die durch die ordnungswidrige Benutzung des Privatfriedhofs, durch dritte Personen oder durch Tiere entstehen. Auf § 16 Absatz 3 dieser Satzung wird hingewiesen. Im Übrigen haften sie nur für Vorsatz und grobe Fahrlässigkeit.</w:t>
      </w:r>
    </w:p>
    <w:p>
      <w:r>
        <w:rPr>
          <w:color w:val="555555"/>
          <w:sz w:val="17"/>
        </w:rPr>
        <w:t xml:space="preserve">Zitiervorschlag: § 18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