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NW_31257 (Nordrhein-Westfalen) — Pflege der Grabstätten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Pflege der einzelnen Grabstätte, insbesondere die Reinigung und Instandhaltung der Grabplatte, obliegt dem Nutzungsberechtigten. Werden Grabpflegeverträge mit Dritten abgeschlossen, so ist die Friedhofsverwaltung darüber zu informieren.</w:t>
      </w:r>
    </w:p>
    <w:p>
      <w:r>
        <w:t xml:space="preserve">(2) Die Pflege des Friedhofsbereichs, insbesondere die Pflege des die Gräber umgebenden Rasens, obliegt der Friedhofsverwaltung.</w:t>
      </w:r>
    </w:p>
    <w:p>
      <w:r>
        <w:t xml:space="preserve">(3) Bei Aufbringung der Steinplatte auf die Grabstätte muss gewährleistet sein, dass die Platte ohne Beschädigungsgefahr mit einem Rasenmäher überfahren werden kann. Jegliche Haftung von Friedhofsträger und/ oder -verwaltung für Beschädigungen der Steinplatte durch Rasen- oder sonstige Friedhofspflegearbeiten wird ausgeschlossen.</w:t>
      </w:r>
    </w:p>
    <w:p>
      <w:r>
        <w:t xml:space="preserve">E. Schlussvorschriften</w:t>
      </w:r>
    </w:p>
    <w:p>
      <w:r>
        <w:rPr>
          <w:color w:val="555555"/>
          <w:sz w:val="17"/>
        </w:rPr>
        <w:t xml:space="preserve">Zitiervorschlag: § 16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