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NW_31257 (Nordrhein-Westfalen) — Gestaltung der Rasengrabstätte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 Grabfläche ist so zu gestalten und der Umgebung des Privatfriedhofs anzupassen, dass die Würde des Privatfriedhofs gewahrt bleibt.</w:t>
      </w:r>
    </w:p>
    <w:p>
      <w:r>
        <w:t xml:space="preserve">(2) Jede Rasengrabstätte wird mit einer Steinplatte abgedeckt. Weitere Gestaltungen wie beispielsweise Grabmale, Grablampen, Einfassungen oder individuelle Bepflanzungen sind nicht zulässig.</w:t>
      </w:r>
    </w:p>
    <w:p>
      <w:r>
        <w:t xml:space="preserve">(3) Die Anlage der Steinplatte ist mit der Friedhofsverwaltung abzustimmen. Die Aufbringung der Platte auf die Grabstätte darf nur durch einen entsprechend qualifizierten Unternehmer erfolgen.</w:t>
      </w:r>
    </w:p>
    <w:p>
      <w:r>
        <w:rPr>
          <w:color w:val="555555"/>
          <w:sz w:val="17"/>
        </w:rPr>
        <w:t xml:space="preserve">Zitiervorschlag: § 14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