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NW_31257 (Nordrhein-Westfalen) — Art der Grabstätte</w:t>
      </w:r>
    </w:p>
    <w:p>
      <w:r>
        <w:rPr>
          <w:color w:val="555555"/>
          <w:sz w:val="18"/>
        </w:rPr>
        <w:t xml:space="preserve">Satzung für den Privatfriedhof Kloster Dalheim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dem Privatfriedhof sind ausschließlich Rasengrabstätten für Erd- und Urnenbestattungen zulässig. Rasengrabstätten sind für Erdbestattungen und Urnenbeisetzungen bestimmte Grabstätten ohne gärtnerische Gestaltungsmöglichkeit für die Angehörigen.</w:t>
      </w:r>
    </w:p>
    <w:p>
      <w:r>
        <w:t xml:space="preserve">(2) Auf dem Privatfriedhof gibt es Einzelgrabstellen für eine Person bzw. Urne und Doppelgrabstellen für zwei Personen bzw. Urnen.</w:t>
      </w:r>
    </w:p>
    <w:p>
      <w:r>
        <w:t xml:space="preserve">(3) Die genaue Platzierung der Grabstelle wird von der Friedhofsverwaltung unter Berücksichtigung der Genehmigung vom 10. Januar 2012 festgelegt.</w:t>
      </w:r>
    </w:p>
    <w:p>
      <w:r>
        <w:t xml:space="preserve">(4) In jeder einzelnen Grabstätte darf nur eine einzige Leiche bzw. Urne beerdigt werden. Die Friedhofsverwaltung kann Ausnahmen zulassen.</w:t>
      </w:r>
    </w:p>
    <w:p>
      <w:r>
        <w:rPr>
          <w:color w:val="555555"/>
          <w:sz w:val="17"/>
        </w:rPr>
        <w:t xml:space="preserve">Zitiervorschlag: § 13 NW_31257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https://recht.nulegal.eu/gesetze/NW_31257/13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