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NW_31257 (Nordrhein-Westfalen) — Geltungsbereich</w:t>
      </w:r>
    </w:p>
    <w:p>
      <w:r>
        <w:rPr>
          <w:color w:val="555555"/>
          <w:sz w:val="18"/>
        </w:rPr>
        <w:t xml:space="preserve">Satzung für den Privatfriedhof Kloster Dalheim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Friedhofssatzung gilt für den Privatfriedhof Kloster Dalheim (im Folgenden: Privatfriedhof). Dieser befindet sich auf dem Grundstück Gemarkung Dalheim Flur 1 Flurstück 597 in der in Anlage 1 rot markierten Fläche östlich und nördlich vom Chorraum der Kirche.</w:t>
      </w:r>
    </w:p>
    <w:p>
      <w:r>
        <w:rPr>
          <w:color w:val="555555"/>
          <w:sz w:val="17"/>
        </w:rPr>
        <w:t xml:space="preserve">Zitiervorschlag: § 1 NW_31257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https://recht.nulegal.eu/gesetze/NW_31257/1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