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NW_31251 (Nordrhein-Westfalen) — Inkrafttreten</w:t>
      </w:r>
    </w:p>
    <w:p>
      <w:r>
        <w:rPr>
          <w:color w:val="555555"/>
          <w:sz w:val="18"/>
        </w:rPr>
        <w:t xml:space="preserve">BauGB-AG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2 NW_31251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https://recht.nulegal.eu/gesetze/NW_31251/2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