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NW_31236 (Nordrhein-Westfalen) — Schlussbestimmungen</w:t>
      </w:r>
    </w:p>
    <w:p>
      <w:r>
        <w:rPr>
          <w:color w:val="555555"/>
          <w:sz w:val="18"/>
        </w:rPr>
        <w:t xml:space="preserve">Nutzungssatzung Bürgerfunk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Einzelheiten kann die LfM in Bekanntgaben oder Richtlinien regeln.</w:t>
      </w:r>
    </w:p>
    <w:p>
      <w:r>
        <w:t xml:space="preserve">(2) Diese Satzung tritt am Tage nach ihrer Bekanntmachung in Kraft. Gleichzeitig tritt die Nutzungssatzung Hörfunk vom 10. August 2007 (GV. NRW. S. 325), zuletzt geändert durch die 2. Änderungssatzung vom 19. Juli 2013 (GV. NRW. S. 496), außer Kraft.</w:t>
      </w:r>
    </w:p>
    <w:p>
      <w:r>
        <w:t xml:space="preserve">Düsseldorf, den 12. Dezember 2014</w:t>
      </w:r>
    </w:p>
    <w:p>
      <w:r>
        <w:t xml:space="preserve">Der Direktor</w:t>
      </w:r>
    </w:p>
    <w:p>
      <w:r>
        <w:t xml:space="preserve">der Landesanstalt für Medien</w:t>
      </w:r>
    </w:p>
    <w:p>
      <w:r>
        <w:t xml:space="preserve">Nordrhein-Westfalen (LfM)</w:t>
      </w:r>
    </w:p>
    <w:p>
      <w:r>
        <w:t xml:space="preserve">i. V.</w:t>
      </w:r>
    </w:p>
    <w:p>
      <w:r>
        <w:t xml:space="preserve">Doris B r o c k e r</w:t>
      </w:r>
    </w:p>
    <w:p>
      <w:r>
        <w:rPr>
          <w:color w:val="555555"/>
          <w:sz w:val="17"/>
        </w:rPr>
        <w:t xml:space="preserve">Zitiervorschlag: § 11 NW_31236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https://recht.nulegal.eu/gesetze/NW_31236/11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