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NW_31218 (Nordrhein-Westfalen) — Sonderregelung für Beschäftigte im Beitrittsgebiet</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1Beschäftigte im Beitrittsgebiet, bei denen der Versicherungsfall vor Erfüllung der Wartezeit (§ 32 Absatz 1) eingetreten ist, erhalten unter den Voraussetzungen des § 108a der Satzung in der am 31. Dezember 2001 maßgebenden Fassung eine Leistung in der Höhe, wie sie ihnen als Versicherungsrente nach § 35 Absatz 1 der Satzung in der am 31. Dezember 2001 maßgebenden Fassung zugestanden hätte, wenn sie in den dem Eintritt des Versicherungsfalls beziehungsweise dem Ende des Arbeitsverhältnisses vorangegangenen 60 Kalendermonaten pflichtversichert gewesen wären. 2Satz 1 gilt für Hinterbliebene einer/eines vor Erfüllung der Wartezeit verstorbenen Versicherten.</w:t>
      </w:r>
    </w:p>
    <w:p>
      <w:r>
        <w:t xml:space="preserve">Teil 6</w:t>
      </w:r>
    </w:p>
    <w:p>
      <w:r>
        <w:t xml:space="preserve">Schlussvorschriften</w:t>
      </w:r>
    </w:p>
    <w:p>
      <w:r>
        <w:rPr>
          <w:color w:val="555555"/>
          <w:sz w:val="17"/>
        </w:rPr>
        <w:t xml:space="preserve">Zitiervorschlag: § 77a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https://recht.nulegal.eu/gesetze/NW_31218/77a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