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66 NW_31218 (Nordrhein-Westfalen) — Überschussverteilung</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1Im Rahmen der versicherungstechnischen Bilanz für die Pflichtversicherung werden die Überschüsse jährlich bis zum Jahresende für das vorangegangene Geschäftsjahr jeweils getrennt für den Abrechnungsverband I und den Abrechnungsverband II festgestellt. 2Soweit eine Kapitaldeckung vorhanden ist, werden dabei die tatsächlich erzielten Kapitalerträge berücksichtigt. 3Soweit keine Kapitaldeckung vorhanden ist, wird die durchschnittliche laufende Verzinsung der zehn nach der Bilanzsumme größten Pensionskassen nach dem zum Zeitpunkt der Fertigstellung der versicherungstechnischen Bilanz jeweils aktuellen Geschäftsbericht der Bundesanstalt für Finanzdienstleistungsaufsicht zugrunde gelegt. 4Näheres regelt der Technische Geschäftsplan.</w:t>
      </w:r>
    </w:p>
    <w:p>
      <w:r>
        <w:t xml:space="preserve">(2) Soweit Mittel aus dem Abrechnungsverband I zur Deckung eines bilanziellen Fehlbetrages nach § 59 Absatz 3 Satz 3 in den Abrechnungsverband der freiwilligen Versicherung überführt werden, sind diese Mittel dem Abrechnungsverband I bei der Aufstellung der versicherungstechnischen Bilanz als fiktives Vermögen nach Maßgabe des Technischen Geschäftsplans hinzuzurechnen, um die Versicherten bezogen auf die Feststellung der Überschüsse im Ergebnis so zu stellen, als ob ein Vermögenstransfer nicht stattgefunden hätte.</w:t>
      </w:r>
    </w:p>
    <w:p>
      <w:r>
        <w:t xml:space="preserve">(3) Über die Zuteilung von Bonuspunkten sowie die Entlastung von Mitgliedern, soweit diese im Abrechnungsverband II Arbeitgeberpflichtbeiträge von mehr als 4 Prozent der zusatzversorgungspflichtigen Entgelte geleistet haben, entscheidet der Kassenausschuss nach billigem Ermessen auf Vorschlag der Verantwortlichen Aktuarin/des Verantwortlichen Aktuars.</w:t>
      </w:r>
    </w:p>
    <w:p>
      <w:r>
        <w:t xml:space="preserve">(4) 1Für die Zuteilung der Bonuspunkte kommen die am Ende des laufenden Geschäftsjahres Pflichtversicherten sowie die zum gleichen Zeitpunkt beitragsfrei Versicherten, die eine Wartezeit von 120 Umlagemonaten beziehungsweise Pflichtbeitragsmonaten erfüllt haben, in Betracht. 2§ 32 Absatz 1 Satz 4 gilt entsprechend. 3Beschäftigte, deren Arbeitsverhältnis in Folge von Witterungseinflüssen oder wegen anderer Naturereignisse nach besonderen tarifvertraglichen Vorschriften geendet hat und die bei Wiederaufnahme der Arbeit Anspruch auf Wiedereinstellung haben, sowie Saisonbeschäftigte, die bei Beginn der nächsten Saison voraussichtlich wieder eingestellt würden, gelten als Pflichtversicherte im Sinne des Satzes 1.</w:t>
      </w:r>
    </w:p>
    <w:p>
      <w:r>
        <w:t xml:space="preserve">Kapitel 3</w:t>
      </w:r>
    </w:p>
    <w:p>
      <w:r>
        <w:t xml:space="preserve">Freiwillige Versicherung</w:t>
      </w:r>
    </w:p>
    <w:p>
      <w:r>
        <w:rPr>
          <w:color w:val="555555"/>
          <w:sz w:val="17"/>
        </w:rPr>
        <w:t xml:space="preserve">Zitiervorschlag: § 66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66 NW_31218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