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 NW_31218 (Nordrhein-Westfalen) — Verlustrücklage</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1Soweit in der hybridfinanzierten Pflichtversicherung (Abrechnungsverband II) kapitalgedeckt geführte Verpflichtungen zu erfüllen sind, kann eine Verlustrücklage zur Deckung von Fehlbeträgen gebildet werden. 2Über die Zuführung von Überschüssen zu dieser Verlustrücklage entscheidet der Kassenausschuss nach billigem Ermessen, bis diese einem Stand von 10 Prozent der Deckungsrückstellung für kapitalgedeckt geführte Verpflichtungen nach § 56 Absatz 3 Satz 1 erreicht oder nach Inanspruchnahme wieder erreicht.</w:t>
      </w:r>
    </w:p>
    <w:p>
      <w:r>
        <w:t xml:space="preserve">(2) 1Zur Deckung von Fehlbeträgen im Abrechnungsverband der freiwilligen Versicherung ist eine Verlustrücklage zu bilden. 2Sofern kein bilanzieller Fehlbetrag vorliegt, sind der Verlustrücklage jährlich mindestens 5 Prozent des sich aus der versicherungstechnischen Bilanz des Abrechnungsverbandes insgesamt ergebenden Überschusses zuzuführen, bis diese einen Stand von 10 Prozent der Deckungsrückstellung erreicht oder nach Inanspruchnahme wieder erreicht.</w:t>
      </w:r>
    </w:p>
    <w:p>
      <w:r>
        <w:t xml:space="preserve">(3) Der Kassenausschuss kann im Hinblick auf die Kapitalausstattung in der hybridfinanzierten Pflichtversicherung (Abrechnungsverband II) und der freiwilligen Versicherung weitere Vorgaben zur Dotierung der jeweiligen Verlustrücklage beschließen.</w:t>
      </w:r>
    </w:p>
    <w:p>
      <w:r>
        <w:rPr>
          <w:color w:val="555555"/>
          <w:sz w:val="17"/>
        </w:rPr>
        <w:t xml:space="preserve">Zitiervorschlag: § 57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