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54 NW_31218 (Nordrhein-Westfalen) — Vermögensanlage</w:t>
      </w:r>
    </w:p>
    <w:p>
      <w:r>
        <w:rPr>
          <w:color w:val="555555"/>
          <w:sz w:val="18"/>
        </w:rPr>
        <w:t xml:space="preserve">kvw-Zusatzversorgung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Kassenvermögen ist nach den Vorschriften des Gesetzes über die kommunalen Versorgungskassen und Zusatzversorgungskassen im Lande Nordrhein-Westfalen in der Fassung der Bekanntmachung vom 6. November 1984 (GV. NRW. S. 694, ber. S. 748) in der jeweils geltenden Fassung anzulegen.</w:t>
      </w:r>
    </w:p>
    <w:p>
      <w:r>
        <w:rPr>
          <w:color w:val="555555"/>
          <w:sz w:val="17"/>
        </w:rPr>
        <w:t xml:space="preserve">Zitiervorschlag: § 54 NW_31218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https://recht.nulegal.eu/gesetze/NW_31218/54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54 NW_31218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