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NW_31218 (Nordrhein-Westfalen) — Aufgaben des Kassenausschusses</w:t>
      </w:r>
    </w:p>
    <w:p>
      <w:r>
        <w:rPr>
          <w:color w:val="555555"/>
          <w:sz w:val="18"/>
        </w:rPr>
        <w:t xml:space="preserve">kvw-Zusatzversorgung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1Der Kassenausschuss beschließt über grundsätzliche Angelegenheiten. 2Hierzu gehören insbesondere</w:t>
      </w:r>
    </w:p>
    <w:p>
      <w:r>
        <w:t xml:space="preserve">1. die Satzung einschließlich der Allgemeinen Versicherungsbedingungen für die freiwillige Versicherung und ihre Änderungen,</w:t>
      </w:r>
    </w:p>
    <w:p>
      <w:r>
        <w:t xml:space="preserve">2. die Bestellung der Verantwortlichen Aktuarin/des Verantwortlichen Aktuars nach § 8,</w:t>
      </w:r>
    </w:p>
    <w:p>
      <w:r>
        <w:t xml:space="preserve">3. die Feststellung und Änderung des Wirtschaftsplans, die Feststellung des Jahresabschlusses und die Verwendung des Bilanzgewinns oder die Deckung des Bilanzverlustes, die Entlastung der Leiterin/des Leiters der Kasse und der Geschäftsführerin/des Geschäftsführers sowie die Bestellung einer Wirtschaftsprüferin/eines Wirtschaftsprüfers oder einer Wirtschaftsprüfungsgesellschaft,</w:t>
      </w:r>
    </w:p>
    <w:p>
      <w:r>
        <w:t xml:space="preserve">4. die Aufwendungen für die Pflichtversicherung nach § 61 sowie der Anteil der Umlagefinanzierung und der kapitalgedeckten Finanzierung und die daraus resultierenden Hebesätze im Abrechnungsverband II nach § 55 Absatz 3 Satz 4,</w:t>
      </w:r>
    </w:p>
    <w:p>
      <w:r>
        <w:t xml:space="preserve">5. die Verteilung der Überschüsse nach den §§ 66 und 68 sowie Maßnahmen zur Deckung von Fehlbeträgen nach § 59,</w:t>
      </w:r>
    </w:p>
    <w:p>
      <w:r>
        <w:t xml:space="preserve">6. Richtlinien zum Vollzug der Satzung,</w:t>
      </w:r>
    </w:p>
    <w:p>
      <w:r>
        <w:t xml:space="preserve">7. die Zustimmung zu Durchführungsvorschriften,</w:t>
      </w:r>
    </w:p>
    <w:p>
      <w:r>
        <w:t xml:space="preserve">8. die Zustimmung zur Aufnahme von Mitgliedern, die unter § 3 Nummer 4 fallen,</w:t>
      </w:r>
    </w:p>
    <w:p>
      <w:r>
        <w:t xml:space="preserve">9. die Verwendung des Vermögens bei der Auflösung der Kasse nach § 10,</w:t>
      </w:r>
    </w:p>
    <w:p>
      <w:r>
        <w:t xml:space="preserve">10. Einsprüche gegen Entscheidungen der Kasse, sofern diese dem Einspruch nicht stattgibt nach § 46 Absatz 7 und</w:t>
      </w:r>
    </w:p>
    <w:p>
      <w:r>
        <w:t xml:space="preserve">11. die Anhörung zur Bestellung einer Geschäftsführerin/eines Geschäftsführers.</w:t>
      </w:r>
    </w:p>
    <w:p>
      <w:r>
        <w:t xml:space="preserve">(2) Über Satzungsänderungen zu Fragen der Organisation und der Finanzverfassung beschließt der Kassenausschuss im Einvernehmen mit dem Verwaltungsrat der kvw.</w:t>
      </w:r>
    </w:p>
    <w:p>
      <w:r>
        <w:rPr>
          <w:color w:val="555555"/>
          <w:sz w:val="17"/>
        </w:rPr>
        <w:t xml:space="preserve">Zitiervorschlag: § 5 NW_31218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