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NW_31218 (Nordrhein-Westfalen) — Pflichten der Versicherten und Betriebsrentenberechtigten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1Versicherte und Betriebsrentenberechtigte sind verpflichtet, der Kasse eine Verlegung ihres Wohnsitzes oder dauernden Aufenthalts sowie jede Änderung von Verhältnissen, die ihren Anspruch dem Grunde oder der Höhe nach berühren können, unverzüglich in Textform mitzuteilen. 2Insbesondere sind mitzuteilen</w:t>
      </w:r>
    </w:p>
    <w:p>
      <w:r>
        <w:t xml:space="preserve">1. von allen Betriebsrentenberechtigten</w:t>
      </w:r>
    </w:p>
    <w:p>
      <w:r>
        <w:t xml:space="preserve">a) die Versagung der Rente aus der gesetzlichen Rentenversicherung,</w:t>
      </w:r>
    </w:p>
    <w:p>
      <w:r>
        <w:t xml:space="preserve">b) die Beendigung der Rentenzahlung aus der gesetzlichen Rentenversicherung,</w:t>
      </w:r>
    </w:p>
    <w:p>
      <w:r>
        <w:t xml:space="preserve">c) der Bezug von Arbeitsentgelt, Arbeitseinkommen, Mutterschaftsgeld, Übergangsgeld, Kurzarbeitergeld, Winterausfallgeld, Arbeitslosengeld, Insolvenzgeld, Krankengeld, Versorgungskrankengeld, Unterhaltsgeld und Verletztengeld,</w:t>
      </w:r>
    </w:p>
    <w:p>
      <w:r>
        <w:t xml:space="preserve">d) der Bezug einer Teilrente und</w:t>
      </w:r>
    </w:p>
    <w:p>
      <w:r>
        <w:t xml:space="preserve">e) die Änderung der Rentenart in der gesetzlichen Rentenversicherung,</w:t>
      </w:r>
    </w:p>
    <w:p>
      <w:r>
        <w:t xml:space="preserve">sowie</w:t>
      </w:r>
    </w:p>
    <w:p>
      <w:r>
        <w:t xml:space="preserve">2. bei Betriebsrenten aus eigener Versicherung</w:t>
      </w:r>
    </w:p>
    <w:p>
      <w:r>
        <w:t xml:space="preserve">der Wegfall der Berufsunfähigkeit oder der Erwerbsminderung und die Änderung von voller in teilweise oder von teilweiser in volle Erwerbsminderung und die Änderung der Höhe der Rente aus der gesetzlichen Rentenversicherung wegen Hinzuverdienstes,</w:t>
      </w:r>
    </w:p>
    <w:p>
      <w:r>
        <w:t xml:space="preserve">3. bei Betriebsrenten für Witwen/Witwer sowie hinterbliebene Lebenspartnerinnen/ Lebenspartner im Sinne des Lebenspartnerschaftsgesetzes,</w:t>
      </w:r>
    </w:p>
    <w:p>
      <w:r>
        <w:t xml:space="preserve">a) eine Eheschließung oder eine Begründung einer Lebenspartnerschaft im Sinne des Lebenspartnerschaftsgesetzes,</w:t>
      </w:r>
    </w:p>
    <w:p>
      <w:r>
        <w:t xml:space="preserve">b) den Bezug von Alters- oder Erwerbsminderungsrenten aus eigener Versicherung, Ruhegehalt oder vergleichbare Dienstbezüge aus einem öffentlich-rechtlichen Dienstverhältnis, Rentenleistungen berufsständischer Versorgungseinrichtungen und</w:t>
      </w:r>
    </w:p>
    <w:p>
      <w:r>
        <w:t xml:space="preserve">4. bei Betriebsrenten für Waisen</w:t>
      </w:r>
    </w:p>
    <w:p>
      <w:r>
        <w:t xml:space="preserve">das Ende der Schul- oder Berufsausbildung oder eines freiwilligen sozialen Jahres oder der Wegfall der Unterhaltsbedürftigkeit, wenn das 18. Lebensjahr vollendet ist.</w:t>
      </w:r>
    </w:p>
    <w:p>
      <w:r>
        <w:t xml:space="preserve">(2) Versicherte und Betriebsrentenberechtigte sind ferner verpflichtet, innerhalb einer von der Kasse zu setzenden Frist auf Anforderung Auskünfte zu erteilen sowie die erforderlichen Nachweise und Lebensbescheinigungen vorzulegen.</w:t>
      </w:r>
    </w:p>
    <w:p>
      <w:r>
        <w:t xml:space="preserve">(3) Die Kasse kann die Betriebsrente zurückbehalten, solange die Betriebsrentenberechtigte ihren Verpflichtungen/der Betriebsrentenberechtigte seinen Verpflichtungen nach den Absätzen 1 und 2 oder ihrer Verpflichtung/seiner Verpflichtung, die Überleitung der Versicherung auf die Kasse zu beantragen, nicht nachkommt.</w:t>
      </w:r>
    </w:p>
    <w:p>
      <w:r>
        <w:t xml:space="preserve">(4) Verletzen Versicherte oder Betriebsrentenberechtigte ihre Pflichten nach dieser Vorschrift, können sie sich nicht auf den Wegfall der Bereicherung berufen.</w:t>
      </w:r>
    </w:p>
    <w:p>
      <w:r>
        <w:rPr>
          <w:color w:val="555555"/>
          <w:sz w:val="17"/>
        </w:rPr>
        <w:t xml:space="preserve">Zitiervorschlag: § 48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