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NW_31218 (Nordrhein-Westfalen) — Leistungsantrag</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Kasse erbringt Leistungen nur auf Antrag in Textform. 2Im Antrag sind alle für die Prüfung des Anspruchs auf Betriebsrente notwendigen Angaben zu machen und die erforderlichen Nachweise beizufügen. 3Der Antrag ist bei Pflichtversicherten über das Mitglied einzureichen, bei dem die Pflichtversicherte/der Pflichtversicherte zuletzt in dem versicherungspflichtigen Beschäftigungsverhältnis gestanden hat. 4Die Kasse fordert die für die Feststellung des Eintritts des Versicherungsfalls und die Berechnung der Betriebsrente erforderlichen Daten ab dem 01. Januar 2023 elektronisch durch gesicherte und verschlüsselte Datenübertragung von den Trägern der gesetzlichen Rentenversicherung an. 5Dies gilt nach Rentenbeginn auch für die Prüfung des Anspruchs auf Betriebsrente dem Grunde und der Höhe nach. 6Soweit eine elektronische Datenübertragung der erforderlichen Daten nicht möglich ist, besteht die Verpflichtung nach Satz 2 insoweit fort. 7Die Kasse informiert die Betriebsrentenberechtigten über die elektronische Datenübertragung.</w:t>
      </w:r>
    </w:p>
    <w:p>
      <w:r>
        <w:t xml:space="preserve">(2) 1Ist die Berechtigte/der Berechtigte verstorben, ohne den Antrag bei der Kasse gestellt zu haben, so kann der Antrag nur nachgeholt werden, wenn der/dem Verstorbenen ein Anspruch auf Gewährung einer Rente aus der gesetzlichen Rentenversicherung zugestanden und er den Antrag auf Gewährung dieser Rente gestellt hat. 2Das Recht, den Antrag nachzuholen, steht nur dem überlebenden Ehegatten sowie den Abkömmlingen zu.</w:t>
      </w:r>
    </w:p>
    <w:p>
      <w:r>
        <w:rPr>
          <w:color w:val="555555"/>
          <w:sz w:val="17"/>
        </w:rPr>
        <w:t xml:space="preserve">Zitiervorschlag: § 45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