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NW_31218 (Nordrhein-Westfalen) — Versicherungsfall und Rentenbeginn</w:t>
      </w:r>
    </w:p>
    <w:p>
      <w:r>
        <w:rPr>
          <w:color w:val="555555"/>
          <w:sz w:val="18"/>
        </w:rPr>
        <w:t xml:space="preserve">kvw-Zusatzversorgung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1Der Versicherungsfall tritt am Ersten des Monats ein, von dem an der Anspruch auf gesetzliche Rente wegen Alters als Vollrente beziehungsweise wegen teilweiser oder voller Erwerbsminderung besteht. 2Der Anspruch ist durch Bescheid des Trägers der gesetzlichen Rentenversicherung nachzuweisen. 3Den in der gesetzlichen Rentenversicherung Versicherten, die bei Eintritt des Versicherungsfalles nach Satz 1 die Wartezeit nach § 32 erfüllt haben, wird auf ihren schriftlichen Antrag von der Kasse eine Betriebsrente gezahlt. 4Die Betriebsrente beginnt - vorbehaltlich des § 39 - mit dem Beginn der Rente aus der gesetzlichen Rentenversicherung.</w:t>
      </w:r>
    </w:p>
    <w:p>
      <w:r>
        <w:rPr>
          <w:color w:val="555555"/>
          <w:sz w:val="17"/>
        </w:rPr>
        <w:t xml:space="preserve">Zitiervorschlag: § 31 NW_31218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https://recht.nulegal.eu/gesetze/NW_31218/31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