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NW_31218 (Nordrhein-Westfalen) — Mitglieder</w:t>
      </w:r>
    </w:p>
    <w:p>
      <w:r>
        <w:rPr>
          <w:color w:val="555555"/>
          <w:sz w:val="18"/>
        </w:rPr>
        <w:t xml:space="preserve">kvw-Zusatzversorgung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Mitglieder der Kasse können sein</w:t>
      </w:r>
    </w:p>
    <w:p>
      <w:r>
        <w:t xml:space="preserve">1.</w:t>
      </w:r>
    </w:p>
    <w:p>
      <w:r>
        <w:t xml:space="preserve">die Gemeinden und Gemeindeverbände,</w:t>
      </w:r>
    </w:p>
    <w:p>
      <w:r>
        <w:t xml:space="preserve">2.</w:t>
      </w:r>
    </w:p>
    <w:p>
      <w:r>
        <w:t xml:space="preserve">andere Körperschaften, Anstalten und Stiftungen des öffentlichen Rechts,</w:t>
      </w:r>
    </w:p>
    <w:p>
      <w:r>
        <w:t xml:space="preserve">3.</w:t>
      </w:r>
    </w:p>
    <w:p>
      <w:r>
        <w:t xml:space="preserve">Verbände von Körperschaften des öffentlichen Rechts,</w:t>
      </w:r>
    </w:p>
    <w:p>
      <w:r>
        <w:t xml:space="preserve">4.</w:t>
      </w:r>
    </w:p>
    <w:p>
      <w:r>
        <w:t xml:space="preserve">juristische Personen des privaten Rechts und Personengesellschaften, wenn sie kommunale Aufgaben erfüllen, ihr dauernder Bestand gesichert erscheint und die Folgen einer Insolvenz gegenüber der Kasse als abgesichert anzusehen sind und</w:t>
      </w:r>
    </w:p>
    <w:p>
      <w:r>
        <w:t xml:space="preserve">5.</w:t>
      </w:r>
    </w:p>
    <w:p>
      <w:r>
        <w:t xml:space="preserve">die Fraktionen kommunaler Vertretungen,</w:t>
      </w:r>
    </w:p>
    <w:p>
      <w:r>
        <w:t xml:space="preserve">sofern sie ihren Sitz im Geschäftsbereich der Kasse haben.</w:t>
      </w:r>
    </w:p>
    <w:p>
      <w:r>
        <w:rPr>
          <w:color w:val="555555"/>
          <w:sz w:val="17"/>
        </w:rPr>
        <w:t xml:space="preserve">Zitiervorschlag: § 3 NW_31218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https://recht.nulegal.eu/gesetze/NW_31218/3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