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NW_31218 (Nordrhein-Westfalen) — Aufgabenübergänge zwischen Mitgliedern der Kasse und Mitgliedern anderer Zusatzversorgungseinrichtungen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1Werden pflichtversicherte Beschäftigte eines Mitglieds an Rechts- oder Aufgabennachfolger abgegeben, die nicht Mitglied der Kasse sind, oder werden sie von einem Mitglied der Kasse im Wege der Rechts- oder Aufgabennachfolge von einem Arbeitgeber übernommen, der nicht Mitglied der Kasse ist, so können Versicherungen und/oder Versicherungszeiten dieser Beschäftigten im Rahmen von Überleitungsabkommen oder entsprechenden Vereinbarungen mit Zusatzversorgungseinrichtungen abgegeben, übernommen oder anerkannt werden. 2Darüber hinaus können Versicherungen und/oder Versicherungszeiten dieser Beschäftigten mit Zustimmung des Kassenausschusses abgegeben, übernommen oder anerkannt werden.</w:t>
      </w:r>
    </w:p>
    <w:p>
      <w:r>
        <w:t xml:space="preserve">Teil 3</w:t>
      </w:r>
    </w:p>
    <w:p>
      <w:r>
        <w:t xml:space="preserve">Leistungen aus der Pflichtversicherung</w:t>
      </w:r>
    </w:p>
    <w:p>
      <w:r>
        <w:t xml:space="preserve">Kapitel 1</w:t>
      </w:r>
    </w:p>
    <w:p>
      <w:r>
        <w:t xml:space="preserve">Betriebsrenten</w:t>
      </w:r>
    </w:p>
    <w:p>
      <w:r>
        <w:rPr>
          <w:color w:val="555555"/>
          <w:sz w:val="17"/>
        </w:rPr>
        <w:t xml:space="preserve">Zitiervorschlag: § 29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