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NW_31218 (Nordrhein-Westfalen) — Finanzieller Ausgleich bei Ausscheiden aus dem Abrechnungsverband I</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Im Falle des Ausscheidens aus dem Abrechnungsverband I hat das ausgeschiedene Mitglied an die Kasse für die auf ihr lastenden Verpflichtungen aus der Pflichtversicherung, die dem ausgeschiedenen Mitglied zuzurechnen sind, einen finanziellen Ausgleich zu erbringen.</w:t>
      </w:r>
    </w:p>
    <w:p>
      <w:r>
        <w:t xml:space="preserve">(2) 1Der finanzielle Ausgleich ist in Form des Ausgleichsbetrags (§ 15a) zu leisten, sofern sich das ausgeschiedene Mitglied nicht innerhalb von sechs Monaten nach Zugang der schriftlichen Mitteilung der Kasse</w:t>
      </w:r>
    </w:p>
    <w:p>
      <w:r>
        <w:t xml:space="preserve">1. über die Höhe des Ausgleichsbetrags und</w:t>
      </w:r>
    </w:p>
    <w:p>
      <w:r>
        <w:t xml:space="preserve">2. über die auf den maximalen Zeitraum prognostizierten Beträge nach dem Erstattungsmodell gemäß § 15b (jährliche Aufwendungen und Ausgleichsbetrag am Ende des Erstattungszeitraums (Schlusszahlung))</w:t>
      </w:r>
    </w:p>
    <w:p>
      <w:r>
        <w:t xml:space="preserve">durch schriftliche Erklärung gegenüber der Kasse für das Erstattungsmodell mit Schlusszahlung unter Angabe des gewählten Erstattungszeitraums entscheidet. 2Die Berechnung des Ausgleichsbetrags und der prognostizierten Beträge nach dem Erstattungsmodell mit Schlusszahlung erfolgt durch ein versicherungsmathematisches Gutachten der Verantwortlichen Aktuarin/des Verantwortlichen Aktuars, dem die maßgeblichen Barwertfaktorentabellen nach § 15a Absatz 3 beigefügt sind, und das die Kasse dem ausgeschiedenen Mitglied zusammen mit dieser Mitteilung übermittelt.</w:t>
      </w:r>
    </w:p>
    <w:p>
      <w:r>
        <w:t xml:space="preserve">(3) Zur Abschätzung der wirtschaftlichen Folgen im Falle eines künftigen Ausscheidens ist das Mitglied jederzeit berechtigt, sich den zu einem von ihm bestimmten Stichtag voraussichtlich zu zahlenden Ausgleichsbetrag sowie die prognostizierten Beträge nach dem Erstattungsmodell errechnen zu lassen; § 15a und § 15b gelten entsprechend.</w:t>
      </w:r>
    </w:p>
    <w:p>
      <w:r>
        <w:t xml:space="preserve">(4) § 13 Absatz 4 Satz 2 Nummer 1 Buchstabe c und Nummer 2 Buchstabe a, b und e gelten für das ausgeschiedene Mitglied entsprechend, solange bis der finanzielle Ausgleich vollständig erbracht ist.</w:t>
      </w:r>
    </w:p>
    <w:p>
      <w:r>
        <w:t xml:space="preserve">(5) 1Ist das ausgeschiedene Mitglied durch eine Ausgliederung ganz oder teilweise aus einem anderen Mitglied des Abrechnungsverbandes I hervorgegangen, sind ihm auch Ansprüche und Anwartschaften aufgrund früherer Pflichtversicherungen über das ausgliedernde Mitglied zuzurechnen. 2Kann nicht festgestellt werden, welche der bei dem ausgliedernden Mitglied entstandenen Ansprüche und Anwartschaften dem ausgegliederten Bereich zuzuordnen sind, werden diese dem durch Ausgliederung entstandenen Mitglied in dem Verhältnis zugerechnet, das dem Verhältnis der Zahl der ausgegliederten Beschäftigten zur Gesamtzahl der Beschäftigten entspricht, die am Tag vor der Ausgliederung über das ausgliedernde Mitglied pflichtversichert waren. 3Für die Höhe der Ansprüche und Anwartschaften nach Satz 2 kann die Kasse Durchschnittsbeträge errechnen. 4Die hinzuzurechnenden Verpflichtungen nach Satz 2 vermindern sich um jeweils ein Zwanzigstel für je zwölf der in der Zeit zwischen dem Beginn und dem Ende der Mitgliedschaft im Abrechnungsverband I zurückgelegten vollendeten Monate. 5Die Sätze 1 bis 4 gelten entsprechend, wenn das ausgeschiedene Mitglied während der Dauer der bestehenden Mitgliedschaft Pflichtversicherte von einem anderen Mitglied des Abrechnungsverbandes I im Wege der Ausgliederung übernommen hat.</w:t>
      </w:r>
    </w:p>
    <w:p>
      <w:r>
        <w:t xml:space="preserve">(6) 1Der finanzielle Ausgleich vermindert sich anteilig, soweit Pflichtversicherungen der Beschäftigten des ausgeschiedenen Mitglieds, die in den 36 Monaten vor dem Ausscheiden durchgehend oder zeitweise bestanden haben, spätestens sechs Monate nach ihrer Beendigung über ein anderes Mitglied oder mehrere andere Mitglieder, auf das oder auf die die Aufgaben des früheren Mitglieds übergegangen sind, im Abrechnungsverband I fortgesetzt werden. 2Bei ausgeschiedenen Mitgliedern, bei denen an die Mitgliedschaft weitere Bedingungen im Sinne des § 3 Nummer 4 gesetzt wurden, und das andere Mitglied ein Mitglied im Sinne des § 3 Nummer 4 ist, gilt Satz 1 nur dann, wenn das andere Mitglied oder die anderen Mitglieder diese Bedingungen erfüllen.</w:t>
      </w:r>
    </w:p>
    <w:p>
      <w:r>
        <w:rPr>
          <w:color w:val="555555"/>
          <w:sz w:val="17"/>
        </w:rPr>
        <w:t xml:space="preserve">Zitiervorschlag: § 15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