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NW_31218 (Nordrhein-Westfalen) — Fortsetzung von Mitgliedschaften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Kasse kann mit einem Mitglied, bei dem die Mitgliedschaftsvoraussetzungen entfallen, die Fortsetzung der Mitgliedschaft vereinbaren. 2§ 3 Nummer 4 findet entsprechende Anwendung.</w:t>
      </w:r>
    </w:p>
    <w:p>
      <w:r>
        <w:t xml:space="preserve">(2) 1Ist in dieser Vereinbarung vorgesehen, dass nur die in dem in der Vereinbarung festgelegten Zeitpunkt vorhandenen pflichtversicherten Beschäftigten weiterhin zu versichern sind, so kann die Zahlung eines Abgeltungsbetrages verlangt werden, der nach den anerkannten Regeln der Versicherungsmathematik gewährleistet, dass zusammen mit den Aufwendungen für die Pflichtversicherung nach § 61 die Verpflichtungen auf Grund</w:t>
      </w:r>
    </w:p>
    <w:p>
      <w:r>
        <w:t xml:space="preserve">1. der Ansprüche und Anwartschaften im Sinne des § 15a Absatz 1 beziehungsweise im Sinne des § 59b Absatz 2 und der verfallbaren Anwartschaften aus den am Stichtag bestehenden Pflichtversicherungen und</w:t>
      </w:r>
    </w:p>
    <w:p>
      <w:r>
        <w:t xml:space="preserve">2. der künftigen Ansprüche und Anwartschaften aus den am Stichtag bestehenden Pflichtversicherungen</w:t>
      </w:r>
    </w:p>
    <w:p>
      <w:r>
        <w:t xml:space="preserve">auf Dauer erfüllt sind und die Verwaltungskosten abgedeckt werden können. 2Als Stichtag gilt der Tag des Ausscheidens. 3§ 15 Absatz 5, § 15a Absätze 2 bis 6 beziehungsweise § 59a Absatz 7 und § 59b Absätze 3 und 4 gelten entsprechend.</w:t>
      </w:r>
    </w:p>
    <w:p>
      <w:r>
        <w:t xml:space="preserve">(3) 1Im Rahmen der Vereinbarung kann vorgesehen werden, dass nach Ablauf eines mit dem Mitglied festzulegenden Zeitraums die den Berechnungen nach Absatz 2 zugrundeliegenden versicherungsmathematischen Annahmen unter Berücksichtigung der zwischenzeitlichen Entwicklung überprüft werden. 2Ergeben sich Überzahlungen, sind diese zu verrechnen. 3Ergeben sich Fehlbeträge, ist das Mitglied zum Ausgleich verpflichtet. 4Scheidet ein Mitglied aus, so ist auf den Ausgleichsbetrag nach § 15a beziehungsweise den Einmalbetrag nach § 59b der bereits geleistete Abgeltungsbetrag anzurechnen.</w:t>
      </w:r>
    </w:p>
    <w:p>
      <w:r>
        <w:t xml:space="preserve">(4) Die Kosten für die erforderlichen versicherungsmathematischen Berechnungen trägt das Mitglied.</w:t>
      </w:r>
    </w:p>
    <w:p>
      <w:r>
        <w:t xml:space="preserve">(5) 1Eine besondere Vereinbarung kann die Kasse auch mit einem Arbeitgeber abschließen, der die Voraussetzungen der §§ 3, 11 nicht erfüllt und der bisher weder bei der Kasse noch bei einer anderen Zusatzversorgungseinrichtung, zu der Versicherungen übergeleitet werden, Mitglied ist, wenn der Arbeitgeber von einem Mitglied Aufgaben und bisher pflichtversicherte Beschäftigte übernommen hat. 2Die Absätze 1 bis 4 gelten entsprechend. 3Für die Berechnung des Abgeltungsbetrages im Sinne des Absatzes 2 Satz 1 Nummer 1 sind dem Arbeitgeber auch die Ansprüche und Anwartschaften aufgrund früherer Pflichtversicherungen über das Mitglied zuzurechnen, die dem übernommenen Bestand zuzuordnen sind. 4Kann nicht festgestellt werden, welche Ansprüche und Anwartschaften dem übernommenen Bestand zuzuordnen sind, sind die Anwartschaften und Ansprüche in dem Verhältnis zuzurechnen, das dem Verhältnis der Zahl der übernommenen Beschäftigten zur Gesamtzahl der am Tag vor der Personalübernahme über das Mitglied pflichtversicherten Beschäftigten entspricht.</w:t>
      </w:r>
    </w:p>
    <w:p>
      <w:r>
        <w:rPr>
          <w:color w:val="555555"/>
          <w:sz w:val="17"/>
        </w:rPr>
        <w:t xml:space="preserve">Zitiervorschlag: § 12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NW_31218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