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NW_31218 (Nordrhein-Westfalen) — Allgemeines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1Die Zusatzversorgungskasse führt den Namen „Kommunale Zusatzversorgungskasse Westfalen-Lippe (kvw-Zusatzversorgung)“, nachfolgend: „Kasse“. 2Sie ist eine Sonderkasse der Kommunalen Versorgungskassen Westfalen-Lippe (kvw) und kann mit den anderen Einrichtungen der kvw unter einer gemeinsamen Bezeichnung auftreten. 3Sie wird dabei im Briefkopf genannt.</w:t>
      </w:r>
    </w:p>
    <w:p>
      <w:r>
        <w:t xml:space="preserve">(2) Das Vermögen der Kasse wird als Sondervermögen geführt und haftet nicht für Verbindlichkeiten der kvw und des Landschaftsverbandes Westfalen-Lippe; ebenso haften der Landschaftsverband Westfalen-Lippe und die kvw nicht für Verbindlichkeiten der Kasse.</w:t>
      </w:r>
    </w:p>
    <w:p>
      <w:r>
        <w:t xml:space="preserve">(3) 1Die Kasse führt ein Dienstsiegel. 2Das Dienstsiegel enthält das Wappenschild des Landschaftsverbandes Westfalen-Lippe und trägt in der Umschrift den Namen der Kasse.</w:t>
      </w:r>
    </w:p>
    <w:p>
      <w:r>
        <w:t xml:space="preserve">(4) 1Der Geschäftsbereich der Kasse erstreckt sich auf das Gebiet des Landschaftsverbandes Westfalen-Lippe. 2Die Kasse hat ihren Sitz in Münster.</w:t>
      </w:r>
    </w:p>
    <w:p>
      <w:r>
        <w:t xml:space="preserve">(5) Die Geschäftsführung der Kasse obliegt dem Landschaftsverband Westfalen-Lippe.</w:t>
      </w:r>
    </w:p>
    <w:p>
      <w:r>
        <w:t xml:space="preserve">(6) Die Leiterin/Der Leiter der Kasse kann mit Zustimmung des Kassenausschusses Durchführungsvorschriften als Anhang zur Satzung erlassen.</w:t>
      </w:r>
    </w:p>
    <w:p>
      <w:r>
        <w:rPr>
          <w:color w:val="555555"/>
          <w:sz w:val="17"/>
        </w:rPr>
        <w:t xml:space="preserve">Zitiervorschlag: § 1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