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NW_31215 (Nordrhein-Westfalen)</w:t>
      </w:r>
    </w:p>
    <w:p>
      <w:r>
        <w:rPr>
          <w:color w:val="555555"/>
          <w:sz w:val="18"/>
        </w:rPr>
        <w:t xml:space="preserve">KJMAES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November 2014</w:t>
      </w:r>
    </w:p>
    <w:p>
      <w:r>
        <w:t xml:space="preserve">Auf Grund § 14 Absatz 7 Satz 2 des Staatsvertrages über den Schutz der Menschenwürde und den Jugendschutz in Rundfunk und Telemedien (Jugendmedienschutz-Staatsvertrag – JMStV) vom 10./27. September 2002 (GV. NRW. 2003 S. 84) erlässt die Landesanstalt für Medien Nordrhein-Westfalen (LfM) übereinstimmend mit den übrigen Landesmedienanstalten folgende Satzung:</w:t>
      </w:r>
    </w:p>
    <w:p>
      <w:r>
        <w:rPr>
          <w:color w:val="555555"/>
          <w:sz w:val="17"/>
        </w:rPr>
        <w:t xml:space="preserve">Zitiervorschlag: Volltext NW_31215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NW_31215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