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NW_31215 (Nordrhein-Westfalen) — Persönlicher und sachlicher Umfang des Ersatzanspruchs</w:t>
      </w:r>
    </w:p>
    <w:p>
      <w:r>
        <w:rPr>
          <w:color w:val="555555"/>
          <w:sz w:val="18"/>
        </w:rPr>
        <w:t xml:space="preserve">KJMAES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Ersatz seiner notwendigen Aufwendungen und Auslagen erhält ein Mitglied der KJM, das nicht aus dem Kreis der Direktoren der Landesmedienanstalten entsandt ist, monatlich einen pauschalen Geldbetrag (Monatspauschale), Sitzungsgeld und Reisekostenvergütung.</w:t>
      </w:r>
    </w:p>
    <w:p>
      <w:r>
        <w:t xml:space="preserve">(2) Die Erstattung erfolgt durch die Landesmedienanstalten und wird durch die ALM GbR abgerechnet.</w:t>
      </w:r>
    </w:p>
    <w:p>
      <w:r>
        <w:t xml:space="preserve">(3) Ein weiter gehender Ersatz von Aufwendungen und Auslagen findet nicht statt, eine Entschädigung für Verdienstausfall ist ausgeschlossen.</w:t>
      </w:r>
    </w:p>
    <w:p>
      <w:r>
        <w:t xml:space="preserve">(4) Prüfgruppenmitglieder, die nicht von Landesmedienanstalten entsandt sind, erhalten Sitzungsgeld und Reisekostenvergütung nach Maßgabe des § 6.</w:t>
      </w:r>
    </w:p>
    <w:p>
      <w:r>
        <w:rPr>
          <w:color w:val="555555"/>
          <w:sz w:val="17"/>
        </w:rPr>
        <w:t xml:space="preserve">Zitiervorschlag: § 2 NW_31215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