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NW_31215 (Nordrhein-Westfalen) — Anwendungsbereich</w:t>
      </w:r>
    </w:p>
    <w:p>
      <w:r>
        <w:rPr>
          <w:color w:val="555555"/>
          <w:sz w:val="18"/>
        </w:rPr>
        <w:t xml:space="preserve">KJMAES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konkretisiert den Anspruch der Mitglieder der Kommission für Jugendmedienschutz (KJM) nach § 14 Absatz 7 Jugendmedienschutz-Staatsvertrag (JMStV) auf Ersatz der notwendigen Aufwendungen und Auslagen bei der Ausübung ihres Ehrenamtes.</w:t>
      </w:r>
    </w:p>
    <w:p>
      <w:r>
        <w:t xml:space="preserve">(2) Diese Satzung regelt auch die Zahlung von Sitzungsgeld und die Erstattung von Reisekosten für Prüfgruppenmitglieder, die nicht aus dem Kreis der Landesmedienanstalten entsandt werden.</w:t>
      </w:r>
    </w:p>
    <w:p>
      <w:r>
        <w:rPr>
          <w:color w:val="555555"/>
          <w:sz w:val="17"/>
        </w:rPr>
        <w:t xml:space="preserve">Zitiervorschlag: § 1 NW_31215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