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NW_31200 (Nordrhein-Westfalen)</w:t>
      </w:r>
    </w:p>
    <w:p>
      <w:r>
        <w:rPr>
          <w:color w:val="555555"/>
          <w:sz w:val="18"/>
        </w:rPr>
        <w:t xml:space="preserve">Verordnung zur Übertragung richterlicher Aufgaben in der Arbeitsgerichtsbarkeit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1. Januar 2015 in Kraft.</w:t>
      </w:r>
    </w:p>
    <w:p>
      <w:r>
        <w:t xml:space="preserve">Der Justizminister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2 NW_31200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https://recht.nulegal.eu/gesetze/NW_31200/2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