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NW_31200 (Nordrhein-Westfalen)</w:t>
      </w:r>
    </w:p>
    <w:p>
      <w:r>
        <w:rPr>
          <w:color w:val="555555"/>
          <w:sz w:val="18"/>
        </w:rPr>
        <w:t xml:space="preserve">Verordnung zur Übertragung richterlicher Aufgaben in der Arbeitsgerichtsbarkeit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der Arbeitsgerichtsbarkeit kann der Vorsitzende dem Rechtspfleger die in § 20 Absatz 2 des Rechtspflegergesetzes in der Fassung der Bekanntmachung vom 14. April 2013 (BGBl. I S. 778, 2014 I S. 46), das zuletzt durch Artikel 3 des Gesetzes vom 8. Juli 2014 (BGBl. I S. 890) geändert worden ist, bezeichneten Aufgaben übertragen.</w:t>
      </w:r>
    </w:p>
    <w:p>
      <w:r>
        <w:rPr>
          <w:color w:val="555555"/>
          <w:sz w:val="17"/>
        </w:rPr>
        <w:t xml:space="preserve">Zitiervorschlag: § 1 NW_31200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https://recht.nulegal.eu/gesetze/NW_31200/1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