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NW_31185 (Nordrhein-Westfalen) — Prüfung der zweckentsprechenden Verwendung von Zuschüssen</w:t>
      </w:r>
    </w:p>
    <w:p>
      <w:r>
        <w:rPr>
          <w:color w:val="555555"/>
          <w:sz w:val="18"/>
        </w:rPr>
        <w:t xml:space="preserve">Fördersatzung Bürgermedien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LfM kann beim Zuschussempfänger jederzeit Bücher, Belege und sonstige Geschäftsunterlagen – soweit sie nicht bereits mit dem Verwendungsnachweis vorzulegen sind – zur Einsichtnahme anfordern oder die zweckentsprechende Verwendung durch Einsichtnahme in die Bücher, Belege und sonstigen Geschäftsunterlagen örtlich prüfen; sie kann sich hierzu Beauftragter bedienen.</w:t>
      </w:r>
    </w:p>
    <w:p>
      <w:r>
        <w:t xml:space="preserve">(2) Der Landesrechnungshof NRW ist berechtigt, beim Zuschussempfänger die zweckentsprechende Verwendung des Zuschusses nach dieser Satzung zu überprüfen.</w:t>
      </w:r>
    </w:p>
    <w:p>
      <w:r>
        <w:rPr>
          <w:color w:val="555555"/>
          <w:sz w:val="17"/>
        </w:rPr>
        <w:t xml:space="preserve">Zitiervorschlag: § 8 NW_31185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https://recht.nulegal.eu/gesetze/NW_31185/8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