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NW_31185 (Nordrhein-Westfalen) — Bewilligung</w:t>
      </w:r>
    </w:p>
    <w:p>
      <w:r>
        <w:rPr>
          <w:color w:val="555555"/>
          <w:sz w:val="18"/>
        </w:rPr>
        <w:t xml:space="preserve">Fördersatzung Bürgermedien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Zuschüsse werden durch Bescheid der LfM bewilligt. Dieser enthält Allgemeine Nebenbestimmungen.</w:t>
      </w:r>
    </w:p>
    <w:p>
      <w:r>
        <w:t xml:space="preserve">(2) In besonderen Fällen kann an die Stelle des Bescheides über die Bewilligung eines Zuschusses auch die Mittelgewährung auf der Grundlage eines Vertrages treten.</w:t>
      </w:r>
    </w:p>
    <w:p>
      <w:r>
        <w:rPr>
          <w:color w:val="555555"/>
          <w:sz w:val="17"/>
        </w:rPr>
        <w:t xml:space="preserve">Zitiervorschlag: § 6 NW_31185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https://recht.nulegal.eu/gesetze/NW_31185/6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