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NW_31185 (Nordrhein-Westfalen) — Förderempfänger</w:t>
      </w:r>
    </w:p>
    <w:p>
      <w:r>
        <w:rPr>
          <w:color w:val="555555"/>
          <w:sz w:val="18"/>
        </w:rPr>
        <w:t xml:space="preserve">Fördersatzung Bürgermedien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Förderempfänger im Hinblick auf die unter § 2 aufgeführten Fördergegenstände sind in der Regel juristische Personen, die die Voraussetzungen für die Durchführung der Maßnahmen und Projekte erbringen.</w:t>
      </w:r>
    </w:p>
    <w:p>
      <w:r>
        <w:t xml:space="preserve">Im Falle von § 2 i) können auch natürliche Personen Förderempfänger sein.</w:t>
      </w:r>
    </w:p>
    <w:p>
      <w:r>
        <w:rPr>
          <w:color w:val="555555"/>
          <w:sz w:val="17"/>
        </w:rPr>
        <w:t xml:space="preserve">Zitiervorschlag: § 4 NW_31185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https://recht.nulegal.eu/gesetze/NW_31185/4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