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NW_31185 (Nordrhein-Westfalen) — Art der Förderung</w:t>
      </w:r>
    </w:p>
    <w:p>
      <w:r>
        <w:rPr>
          <w:color w:val="555555"/>
          <w:sz w:val="18"/>
        </w:rPr>
        <w:t xml:space="preserve">Fördersatzung Bürgermedien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Zuschüsse werden in der Regel als Geldmittel geleistet.</w:t>
      </w:r>
    </w:p>
    <w:p>
      <w:r>
        <w:t xml:space="preserve">(2) Die LfM kann darüber hinaus Sach- und Dienstleistungen zur Verfügung stellen.</w:t>
      </w:r>
    </w:p>
    <w:p>
      <w:r>
        <w:t xml:space="preserve">(3) Die Förderung über den Finanzierungsbedarf hinaus ist nicht zulässig.</w:t>
      </w:r>
    </w:p>
    <w:p>
      <w:r>
        <w:t xml:space="preserve">(4) Förderfähig im Zusammenhang mit der Durchführung von Projekten, Maßnahmen und Vorhaben im Sinne des § 2 Absatz 1 sind Personal- und Sachkosten.</w:t>
      </w:r>
    </w:p>
    <w:p>
      <w:r>
        <w:t xml:space="preserve">(5) Näheres wird in Bekanntgaben geregelt.</w:t>
      </w:r>
    </w:p>
    <w:p>
      <w:r>
        <w:rPr>
          <w:color w:val="555555"/>
          <w:sz w:val="17"/>
        </w:rPr>
        <w:t xml:space="preserve">Zitiervorschlag: § 3 NW_31185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https://recht.nulegal.eu/gesetze/NW_31185/3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