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NW_31160 (Nordrhein-Westfalen)</w:t>
      </w:r>
    </w:p>
    <w:p>
      <w:r>
        <w:rPr>
          <w:color w:val="555555"/>
          <w:sz w:val="18"/>
        </w:rPr>
        <w:t xml:space="preserve">Verordnung über die Gewährung einer monatlichen Unterhaltsbeihilfe an Rechtsreferendarinnen und Rechtsreferendare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Anspruch der Rechtsreferendarin oder des Rechtsreferendars entsteht mit dem Tag der Begründung des öffentlich-rechtlichen Ausbildungsverhältnisses, frühestens jedoch vom Tag des Dienstantritts an.</w:t>
      </w:r>
    </w:p>
    <w:p>
      <w:r>
        <w:t xml:space="preserve">(2) Die Unterhaltsbeihilfe entfällt mit Ablauf des Tages, an dem das öffentlich-rechtliche Ausbildungsverhältnis endet.</w:t>
      </w:r>
    </w:p>
    <w:p>
      <w:r>
        <w:rPr>
          <w:color w:val="555555"/>
          <w:sz w:val="17"/>
        </w:rPr>
        <w:t xml:space="preserve">Zitiervorschlag: § 2 NW_31160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https://recht.nulegal.eu/gesetze/NW_31160/2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