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NW_31146 (Nordrhein-Westfalen) — Personelle Anforderungen</w:t>
      </w:r>
    </w:p>
    <w:p>
      <w:r>
        <w:rPr>
          <w:color w:val="555555"/>
          <w:sz w:val="18"/>
        </w:rPr>
        <w:t xml:space="preserve">WTG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muss unter der Leitung einer persönlich geeigneten Person stehen (Einrichtungsleitung). Sie soll in der Regel eine mindestens zweijährige Leitungserfahrung nachweisen können.</w:t>
      </w:r>
    </w:p>
    <w:p>
      <w:r>
        <w:t xml:space="preserve">(2) Einrichtungen, die vornehmlich auf die Erbringung von Pflegeleistungen ausgerichtet sind, müssen über eine verantwortliche Pflegefachkraft (Pflegedienstleitung), Einrichtungen der Eingliederungshilfe über eine verantwortliche Fachkraft verfügen. Sie ist in pflege- und betreuungsfachlichen Entscheidungen im Sinne des § 3 Absatz 1 nicht weisungsgebunden und darf diesbezüglich nicht durch anderweitige vertragliche Anreize in der Unabhängigkeit beeinträchtigt werden. Maßstab ihres Handelns sind die individuellen Bedürfnisse der Nutzerinnen und Nutzer. Sie ist für die Pflege und Betreuung der Nutzerinnen und Nutzer nach diesem Gesetz verantwortlich. Ihre Vertretung ist bei Abwesenheit zu gewährleisten.</w:t>
      </w:r>
    </w:p>
    <w:p>
      <w:r>
        <w:t xml:space="preserve">(3) Die Leistungsanbieterin oder der Leistungsanbieter und die Einrichtungsleitung haben sicherzustellen, dass die Gesamtzahl der Beschäftigten und ihre Qualifikation ausreichen, um den Pflege- beziehungsweise Betreuungsbedarf der Nutzerinnen und Nutzer zu erfüllen. Dies ist der Fall, wenn Zahl und Qualifikation der Beschäftigten dem in einem allgemein anerkannten und wissenschaftlichen Anforderungen entsprechenden Personalbemessungssystem ermittelten Bedarf entsprechen. Liegt ein solches nicht vor, wird vermutet, dass die Zahl der Beschäftigten und ihre Qualifikation ausreichen, wenn mindestens das Personal eingesetzt wird, das nach Zahl und Qualifikation der Beschäftigten in Verträgen nach dem Fünften, Neunten, Elften oder Zwölften Buch Sozialgesetzbuch vereinbart ist.</w:t>
      </w:r>
    </w:p>
    <w:p>
      <w:r>
        <w:t xml:space="preserve">(4) Sofern kein Personalbemessungssystem im Sinne von Absatz 3 Satz 2 vorliegt, müssen jeweils mindestens die Hälfte der mit sozialen beziehungsweise pflegerischen betreuenden Tätigkeiten beauftragten Beschäftigten Fachkräfte sein. Die Berechnung erfolgt anhand der Vollzeitäquivalente und, soweit vorhanden, auf der Grundlage der in den Vereinbarungen nach Absatz 3 festgesetzten Personalmengen. Sofern über diese Vereinbarungen hinaus Personal eingesetzt wird, ist gesondert darzulegen, wie die fachliche Anleitung, Beratung und Aufsicht der durch dieses Personal ausgeübten Tätigkeiten gewährleistet wird. Im Übrigen bleibt dieses zusätzliche Personal bei der Berechnung der Fachkraftquote außer Betracht. Die zuständige Behörde kann für einen Zeitraum von drei Monaten geringfügige Unterschreitungen der Quote nach Satz 1 dulden, solange keine Mängel auftreten, die auf eine unzureichende Fachkraftpräsenz zurückzuführen sein könnten und die fachliche Anleitung, Beratung und Aufsicht der Beschäftigten gewährleistet ist.</w:t>
      </w:r>
    </w:p>
    <w:p>
      <w:r>
        <w:t xml:space="preserve">(5) Zusätzlich muss mindestens eine Hauswirtschaftsfachkraft vorhanden sein. Darüber hinaus muss jederzeit, auch nachts und an Wochenenden, mindestens eine zur Leistung des konkreten Betreuungsbedarfes der Nutzerinnen und Nutzer geeignete Fachkraft anwesend sein. Die zuständige Behörde kann bei entsprechendem Bedarf höhere Anforderungen festlegen. Die konkrete Besetzung hat sich nach der Zahl der pflegebedürftigen Menschen und deren Pflege- und Betreuungsbedarf in der jeweiligen Einrichtung unter Berücksichtigung der Größe der Einrichtung, ihrer baulichen Struktur und Überschaubarkeit zu richten. In jedem Einzelfall ist durch ein Betreuungskonzept unter Einbeziehung weiterer Kräfte sicherzustellen, dass Bereiche, die aus baulichen Gründen nicht gleichzeitig von einer Person betreut werden können, so überwacht werden, dass Notsituationen umgehend erkannt und eine Fachkraft schnell hinzugezogen werden kann. Dabei kann das Betreuungskonzept technische Möglichkeiten unter strikter Beachtung der Persönlichkeitsrechte der betreuten Menschen einschließen.</w:t>
      </w:r>
    </w:p>
    <w:p>
      <w:r>
        <w:rPr>
          <w:color w:val="555555"/>
          <w:sz w:val="17"/>
        </w:rPr>
        <w:t xml:space="preserve">Zitiervorschlag: § 21 NW_31146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https://recht.nulegal.eu/gesetze/NW_31146/21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