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NW_31128 (Nordrhein-Westfalen)</w:t>
      </w:r>
    </w:p>
    <w:p>
      <w:r>
        <w:rPr>
          <w:color w:val="555555"/>
          <w:sz w:val="18"/>
        </w:rPr>
        <w:t xml:space="preserve">Körperschaftsstatusgesetz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2014</w:t>
      </w:r>
    </w:p>
    <w:p>
      <w:r>
        <w:t xml:space="preserve">(Artikel 1 des Gesetzes vom 16. September 2014 (GV. NRW. S. 604)).</w:t>
      </w:r>
    </w:p>
    <w:p>
      <w:r>
        <w:rPr>
          <w:color w:val="555555"/>
          <w:sz w:val="17"/>
        </w:rPr>
        <w:t xml:space="preserve">Zitiervorschlag: Volltext NW_31128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https://recht.nulegal.eu/gesetze/NW_31128/volltext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