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NW_31128 (Nordrhein-Westfalen) — Zuständigkeitsregelung; Ausnahmen</w:t>
      </w:r>
    </w:p>
    <w:p>
      <w:r>
        <w:rPr>
          <w:color w:val="555555"/>
          <w:sz w:val="18"/>
        </w:rPr>
        <w:t xml:space="preserve">Körperschaftsstatusgesetz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Entscheidungen nach diesem Gesetz ist das für Religionsangelegenheiten zuständige Ministerium.</w:t>
      </w:r>
    </w:p>
    <w:p>
      <w:r>
        <w:t xml:space="preserve">(2) Gegen Entscheidungen und zur Herbeiführung von Entscheidungen nach diesem Gesetz ist der Rechtsweg vor die Verwaltungsgerichte gegeben.</w:t>
      </w:r>
    </w:p>
    <w:p>
      <w:r>
        <w:t xml:space="preserve">(3) Dieses Gesetz findet keine Anwendung, soweit mit einer Religions- oder Weltanschauungsgemeinschaft anderweitige Vereinbarungen (Verträge nach Art. 23 der Verfassung für das Land Nordrhein-Westfalen oder sonstige öffentlich-rechtliche Verträge) getroffen worden sind.</w:t>
      </w:r>
    </w:p>
    <w:p>
      <w:r>
        <w:t xml:space="preserve">Hinweis:</w:t>
      </w:r>
    </w:p>
    <w:p>
      <w:r>
        <w:t xml:space="preserve">Artikel 3 des Gesetzes vom 16. September 2014 (GV. NRW. S. 604):</w:t>
      </w:r>
    </w:p>
    <w:p>
      <w:r>
        <w:t xml:space="preserve">Inkrafttreten; Berichtspflicht</w:t>
      </w:r>
    </w:p>
    <w:p>
      <w:r>
        <w:t xml:space="preserve">Dieses Gesetz tritt am Tag nach der Verkündung in Kraft. Die Landesregierung berichtet dem Landtag bis zum 31. Dezember 2021 über die Erfahrungen mit dem neuen Gesetz. Insbesondere ist zu prüfen, ob sich die Verleihung durch Rechtsverordnung bewährt hat.</w:t>
      </w:r>
    </w:p>
    <w:p>
      <w:r>
        <w:t xml:space="preserve">Die Landesregierung</w:t>
      </w:r>
    </w:p>
    <w:p>
      <w:r>
        <w:t xml:space="preserve">Nordrhein-Westfalen</w:t>
      </w:r>
    </w:p>
    <w:p>
      <w:r>
        <w:t xml:space="preserve">Die Ministerpräsidentin</w:t>
      </w:r>
    </w:p>
    <w:p>
      <w:r>
        <w:t xml:space="preserve">Der Finanzminister</w:t>
      </w:r>
    </w:p>
    <w:p>
      <w:r>
        <w:t xml:space="preserve">Der Minister</w:t>
      </w:r>
    </w:p>
    <w:p>
      <w:r>
        <w:t xml:space="preserve">für Arbeit, Integration und Soziales</w:t>
      </w:r>
    </w:p>
    <w:p>
      <w:r>
        <w:t xml:space="preserve">Für den Justizminister</w:t>
      </w:r>
    </w:p>
    <w:p>
      <w:r>
        <w:t xml:space="preserve">Der Minister</w:t>
      </w:r>
    </w:p>
    <w:p>
      <w:r>
        <w:t xml:space="preserve">für Inneres und Kommunales</w:t>
      </w:r>
    </w:p>
    <w:p>
      <w:r>
        <w:rPr>
          <w:color w:val="555555"/>
          <w:sz w:val="17"/>
        </w:rPr>
        <w:t xml:space="preserve">Zitiervorschlag: § 5 NW_31128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https://recht.nulegal.eu/gesetze/NW_31128/5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NW_31128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