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NW_31119 (Nordrhein-Westfalen) — Inkrafttreten</w:t>
      </w:r>
    </w:p>
    <w:p>
      <w:r>
        <w:rPr>
          <w:color w:val="555555"/>
          <w:sz w:val="18"/>
        </w:rPr>
        <w:t xml:space="preserve">DVOzÖbVIG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Oktober 2014 in Kraft.</w:t>
      </w:r>
    </w:p>
    <w:p>
      <w:r>
        <w:t xml:space="preserve">Der Minister</w:t>
      </w:r>
    </w:p>
    <w:p>
      <w:r>
        <w:t xml:space="preserve">für Inneres und Kommunales</w:t>
      </w:r>
    </w:p>
    <w:p>
      <w:r>
        <w:rPr>
          <w:color w:val="555555"/>
          <w:sz w:val="17"/>
        </w:rPr>
        <w:t xml:space="preserve">Zitiervorschlag: § 13 NW_31119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https://recht.nulegal.eu/gesetze/NW_31119/13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