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NW_31078 (Nordrhein-Westfalen) — Bewertung der schriftlichen Prüfungsarbeiten</w:t>
      </w:r>
    </w:p>
    <w:p>
      <w:r>
        <w:rPr>
          <w:color w:val="555555"/>
          <w:sz w:val="18"/>
        </w:rPr>
        <w:t xml:space="preserve">APO Verwaltungsfachangestellte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 Prüfungsarbeit ist von zwei durch den Vorsitz des Prüfungsausschusses zu bestimmenden Mitgliedern zu bewerten. Diese Befugnis kann der Studienleitung der nach § 2 Absatz 1 zuständigen Stelle übertragen werden. An die Stelle eines der beiden Mitglieder des Prüfungsausschusses kann auch eine Fachlehrerin oder ein Fachlehrer der nach § 2 Absatz 1 zuständigen Stelle treten, die oder der nicht Mitglied des Prüfungsausschusses ist. Bei der Bewertung ist die Richtigkeit der Lösung, die Begründung, die Gliederung der Arbeit, sowie die sprachliche Darstellung zu berücksichtigen.</w:t>
      </w:r>
    </w:p>
    <w:p>
      <w:r>
        <w:t xml:space="preserve">(2) Nach Bewertung stehen die Prüfungsarbeiten allen Mitgliedern des Prüfungsausschusses in den Geschäftsräumen der zuständigen Stelle zur Einsichtnahme zur Verfügung. Jedes Mitglied ist berechtigt, eine von dem Bewertungsvorschlag des Gutachters oder Mitgutachters abweichende Beurteilung mit Begründung schriftlich zu vermerken.</w:t>
      </w:r>
    </w:p>
    <w:p>
      <w:r>
        <w:t xml:space="preserve">(3) Bei abweichenden Bewertungen entscheidet der Prüfungsausschuss endgültig.</w:t>
      </w:r>
    </w:p>
    <w:p>
      <w:r>
        <w:t xml:space="preserve">(4) Erst nach endgültiger Bewertung sämtlicher Arbeiten ist die Anonymität aufzuheben (§ 6 Absatz 3 Satz 3).</w:t>
      </w:r>
    </w:p>
    <w:p>
      <w:r>
        <w:t xml:space="preserve">(5) Die schriftlichen Prüfungsarbeiten einschließlich der Gutachten der Prüferinnen und Prüfer sind fünf Jahre, das Prüfungszeugnis und die Prüfungsniederschrift sind fünfzig Jahre aufzubewahren. Die Frist beginnt mit dem Ablauf des Jahres, in dem die Bekanntgabe des Prüfungsergebnisses an den Prüfling erfolgt. Im Falle einer Wiederholungsprüfung ist für den Fristbeginn der Tag der Bekanntgabe des Ergebnisses der letzten Prüfung maßgebend.</w:t>
      </w:r>
    </w:p>
    <w:p>
      <w:r>
        <w:rPr>
          <w:color w:val="555555"/>
          <w:sz w:val="17"/>
        </w:rPr>
        <w:t xml:space="preserve">Zitiervorschlag: § 11 NW_31078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https://recht.nulegal.eu/gesetze/NW_31078/11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