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NW_31055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Kindertageseinrichtungen (FInK)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 nach der Bekanntmachung im Gesetz- und Verordnungsblatt für das Land Nordrhein-Westfalen in Kraft.</w:t>
      </w:r>
    </w:p>
    <w:p>
      <w:r>
        <w:t xml:space="preserve">Köln, den 8. April 2014</w:t>
      </w:r>
    </w:p>
    <w:p>
      <w:r>
        <w:t xml:space="preserve">Prof. Dr. Jürgen W i l h e l m</w:t>
      </w:r>
    </w:p>
    <w:p>
      <w:r>
        <w:t xml:space="preserve">Vorsitzender der</w:t>
      </w:r>
    </w:p>
    <w:p>
      <w:r>
        <w:t xml:space="preserve">13. Landschaftsversammlung Rheinland</w:t>
      </w:r>
    </w:p>
    <w:p>
      <w:r>
        <w:t xml:space="preserve">Ulrike L u b e k</w:t>
      </w:r>
    </w:p>
    <w:p>
      <w:r>
        <w:t xml:space="preserve">Schriftführerin der</w:t>
      </w:r>
    </w:p>
    <w:p>
      <w:r>
        <w:t xml:space="preserve">13. Landschaftsversammlung Rheinland</w:t>
      </w:r>
    </w:p>
    <w:p>
      <w:r>
        <w:t xml:space="preserve">Die vorstehende Satzung des Landschaftsverbandes Rheinland wird gemäß § 6 Absatz 2 Landschaftsverbandsordnung in der zurzeit geltenden Fassung bekannt gemacht.</w:t>
      </w:r>
    </w:p>
    <w:p>
      <w:r>
        <w:t xml:space="preserve">Nach § 6 Absatz 3 der Landschaftsverbandsordnung kann die Verletzung von Verfahrens- oder Formvorschriften der Landschaftsverbandsordnung gegen Satzungen nach Ablauf eines Jahres seit ihrer Verkündung nicht mehr geltend gemacht werden, es sei denn,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8. April 2014</w:t>
      </w:r>
    </w:p>
    <w:p>
      <w:r>
        <w:t xml:space="preserve">Die Direktorin des</w:t>
      </w:r>
    </w:p>
    <w:p>
      <w:r>
        <w:t xml:space="preserve">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6 NW_31055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https://recht.nulegal.eu/gesetze/NW_31055/6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