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NW_31055 (Nordrhein-Westfalen)</w:t>
      </w:r>
    </w:p>
    <w:p>
      <w:r>
        <w:rPr>
          <w:color w:val="555555"/>
          <w:sz w:val="18"/>
        </w:rPr>
        <w:t xml:space="preserve">Satzung des Landschaftsverbandes Rheinland über die Förderung der Inklusion in Kindertageseinrichtungen (FInK) im Gebiet des Rheinlandes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Förderung soll die inklusive Bildung, Erziehung und Betreuung in Kindertageseinrichtungen ermöglichen, stärken und weiterentwickeln.</w:t>
      </w:r>
    </w:p>
    <w:p>
      <w:r>
        <w:rPr>
          <w:color w:val="555555"/>
          <w:sz w:val="17"/>
        </w:rPr>
        <w:t xml:space="preserve">Zitiervorschlag: § 2 NW_31055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https://recht.nulegal.eu/gesetze/NW_31055/2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