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NW_31027 (Nordrhein-Westfalen)</w:t>
      </w:r>
    </w:p>
    <w:p>
      <w:r>
        <w:rPr>
          <w:color w:val="555555"/>
          <w:sz w:val="18"/>
        </w:rPr>
        <w:t xml:space="preserve">ÖbVIG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Grundsätze</w:t>
      </w:r>
    </w:p>
    <w:p>
      <w:r>
        <w:t xml:space="preserve">§ 1 Öffentliche Bestellung</w:t>
      </w:r>
    </w:p>
    <w:p>
      <w:r>
        <w:t xml:space="preserve">§ 2 Weitere Tätigkeiten</w:t>
      </w:r>
    </w:p>
    <w:p>
      <w:r>
        <w:t xml:space="preserve">§ 3 Allgemeine Berufspflichten</w:t>
      </w:r>
    </w:p>
    <w:p>
      <w:r>
        <w:t xml:space="preserve">Teil 2</w:t>
      </w:r>
    </w:p>
    <w:p>
      <w:r>
        <w:t xml:space="preserve">Bestellung</w:t>
      </w:r>
    </w:p>
    <w:p>
      <w:r>
        <w:t xml:space="preserve">§ 4 Bestellungsvoraussetzungen</w:t>
      </w:r>
    </w:p>
    <w:p>
      <w:r>
        <w:t xml:space="preserve">§ 5 Versagungsgründe</w:t>
      </w:r>
    </w:p>
    <w:p>
      <w:r>
        <w:t xml:space="preserve">§ 6 Erlöschen der Bestellung</w:t>
      </w:r>
    </w:p>
    <w:p>
      <w:r>
        <w:t xml:space="preserve">§ 7 Abwicklung</w:t>
      </w:r>
    </w:p>
    <w:p>
      <w:r>
        <w:t xml:space="preserve">Teil 3</w:t>
      </w:r>
    </w:p>
    <w:p>
      <w:r>
        <w:t xml:space="preserve">Berufsausübung</w:t>
      </w:r>
    </w:p>
    <w:p>
      <w:r>
        <w:t xml:space="preserve">§ 8 Niederlassung</w:t>
      </w:r>
    </w:p>
    <w:p>
      <w:r>
        <w:t xml:space="preserve">§ 9 Ausführung von Amtshandlungen</w:t>
      </w:r>
    </w:p>
    <w:p>
      <w:r>
        <w:t xml:space="preserve">§ 10 Vergütung</w:t>
      </w:r>
    </w:p>
    <w:p>
      <w:r>
        <w:t xml:space="preserve">§ 11 Fachkräfte</w:t>
      </w:r>
    </w:p>
    <w:p>
      <w:r>
        <w:t xml:space="preserve">§ 12 Vertretung</w:t>
      </w:r>
    </w:p>
    <w:p>
      <w:r>
        <w:t xml:space="preserve">§ 13 Kooperationen</w:t>
      </w:r>
    </w:p>
    <w:p>
      <w:r>
        <w:t xml:space="preserve">Teil 4</w:t>
      </w:r>
    </w:p>
    <w:p>
      <w:r>
        <w:t xml:space="preserve">Aufsicht</w:t>
      </w:r>
    </w:p>
    <w:p>
      <w:r>
        <w:t xml:space="preserve">§ 14 Wahrnehmung der Aufsicht</w:t>
      </w:r>
    </w:p>
    <w:p>
      <w:r>
        <w:t xml:space="preserve">§ 15 Ahndung von Berufspflichtverletzungen</w:t>
      </w:r>
    </w:p>
    <w:p>
      <w:r>
        <w:t xml:space="preserve">§ 16 Ordnungswidrigkeiten</w:t>
      </w:r>
    </w:p>
    <w:p>
      <w:r>
        <w:t xml:space="preserve">Teil 5</w:t>
      </w:r>
    </w:p>
    <w:p>
      <w:r>
        <w:t xml:space="preserve">Übergangs- und Schlussbestimmungen</w:t>
      </w:r>
    </w:p>
    <w:p>
      <w:r>
        <w:t xml:space="preserve">§ 17 Übergangsbestimmungen</w:t>
      </w:r>
    </w:p>
    <w:p>
      <w:r>
        <w:t xml:space="preserve">§ 18 Anhörung der Berufsvertretungen</w:t>
      </w:r>
    </w:p>
    <w:p>
      <w:r>
        <w:t xml:space="preserve">§ 19 Rechtsverordnungen</w:t>
      </w:r>
    </w:p>
    <w:p>
      <w:r>
        <w:t xml:space="preserve">§ 20 Inkrafttreten / Außerkrafttreten</w:t>
      </w:r>
    </w:p>
    <w:p>
      <w:r>
        <w:t xml:space="preserve">Teil 1</w:t>
      </w:r>
    </w:p>
    <w:p>
      <w:r>
        <w:t xml:space="preserve">Grundsätze</w:t>
      </w:r>
    </w:p>
    <w:p>
      <w:r>
        <w:rPr>
          <w:color w:val="555555"/>
          <w:sz w:val="17"/>
        </w:rPr>
        <w:t xml:space="preserve">Zitiervorschlag: Volltext NW_31027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https://recht.nulegal.eu/gesetze/NW_31027/volltext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NW_31027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