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NW_31027 (Nordrhein-Westfalen) — Übergangsbestimmungen</w:t>
      </w:r>
    </w:p>
    <w:p>
      <w:r>
        <w:rPr>
          <w:color w:val="555555"/>
          <w:sz w:val="18"/>
        </w:rPr>
        <w:t xml:space="preserve">ÖbVIG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bisher in Nordrhein-Westfalen zugelassene Öffentlich bestellte Vermessungsingenieur gilt als bestellt im Sinne dieses Gesetzes.</w:t>
      </w:r>
    </w:p>
    <w:p>
      <w:r>
        <w:t xml:space="preserve">(2) Abwicklungen werden nach dem zu Beginn der Abwicklung geltenden Berufsrecht weitergeführt.</w:t>
      </w:r>
    </w:p>
    <w:p>
      <w:r>
        <w:t xml:space="preserve">(3) Kooperationen nach § 13 in der bis einschließlich zum 17. November 2023 geltenden Fassung oder vorher geschlossene Kooperationen bleiben bis zu ihrer Auflösung bestehen.</w:t>
      </w:r>
    </w:p>
    <w:p>
      <w:r>
        <w:t xml:space="preserve">(4) Bis zur Festlegung der Anforderungen an die Berufserfahrungen nach § 4 Absatz 2 Nummer 3 sowie § 11 Absatz 3, der Vorgaben zum Beschäftigungsverhältnis nach § 11 Absatz 2 und der Vorgaben für Kooperationen nach § 13 durch Rechtsverordnung nach § 19, sind die §§ 4, 11 und 13 in der bis einschließlich 17. November 2023 geltenden Fassung weiter anzuwenden.</w:t>
      </w:r>
    </w:p>
    <w:p>
      <w:r>
        <w:rPr>
          <w:color w:val="555555"/>
          <w:sz w:val="17"/>
        </w:rPr>
        <w:t xml:space="preserve">Zitiervorschlag: § 17 NW_31027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https://recht.nulegal.eu/gesetze/NW_31027/17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