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NW_31027 (Nordrhein-Westfalen) — Wahrnehmung der Aufsicht</w:t>
      </w:r>
    </w:p>
    <w:p>
      <w:r>
        <w:rPr>
          <w:color w:val="555555"/>
          <w:sz w:val="18"/>
        </w:rPr>
        <w:t xml:space="preserve">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Aufsichtsbehörde überwacht den Öffentlich bestellten Vermessungsingenieur in seiner Berufsausübung nach § 1 und, soweit das amtliche Vermessungswesen oder Berufspflichten betroffen sind, auch nach § 2. Auf Anforderung der Aufsichtsbehörde unterstützt die jeweilige Fachbehörde sie bei ihrer Wahrnehmung der Aufsicht über Amtshandlungen nach § 1 Absatz 2 Nummer 6. Die Aufsicht muss von einer Beamtin oder einem Beamten geleitet werden, die oder der dem zweiten Einstiegsamt der Laufbahngruppe 2 des vermessungstechnischen Dienstes angehört. Die Wahrnehmung der Aufsicht durch die Ingenieurkammer-Bau Nordrhein-Westfalen gemäß dem Baukammerngesetz bleibt unberührt.</w:t>
      </w:r>
    </w:p>
    <w:p>
      <w:r>
        <w:t xml:space="preserve">(2) Die Aufsichtsbehörde kann allgemeine oder besondere Weisungen erteilen, um die recht- und zweckmäßige Erfüllung der Aufgaben zu sichern.</w:t>
      </w:r>
    </w:p>
    <w:p>
      <w:r>
        <w:t xml:space="preserve">(3) Der Öffentlich bestellte Vermessungsingenieur ist verpflichtet, der Aufsichtsbehörde persönlich sachgemäße Auskünfte über seine Berufsausübung gemäß Absatz 1 zu geben und ihren Beauftragten während der Geschäftsstunden Zutritt zur Geschäftsstelle und entsprechende Einsicht in die Geschäftsvorgänge zu gewähren. Ist der Zugang zu den Räumen der Geschäftsstelle nur über eine Wohnung möglich, wird das Grundrecht der Unverletzlichkeit der Wohnung gemäß Artikel 13 des Grundgesetzes vom 23. Mai 1949 (BGBl. III Gliederungsnummer 100-1), zuletzt geändert durch Artikel 1 des Gesetzes vom 11. Juli 2012 (BGBl. I S. 1478), insoweit eingeschränkt. Die Auskunftspflicht umfasst alle für die Prüfung durch die Aufsichtsbehörde benötigten Informationen; erforderliche analoge und digitale Daten oder Materialien (Unterlagen) sind der Aufsichtsbehörde im Original oder in Kopie gemäß den Anforderungen der Aufsichtsbehörde zur Verfügung zu stellen.</w:t>
      </w:r>
    </w:p>
    <w:p>
      <w:r>
        <w:t xml:space="preserve">(4) Gerichte und Behörden sowie andere öffentliche und private Stellen haben personenbezogene Daten, die für die Versagung oder Aufhebung der Bestellung, für den Widerruf einer Vermessungsgenehmigung sowie für ein Verfahren wegen Verletzung der Berufspflichten erforderlich sind, der Aufsichtsbehörde zu übermitteln, soweit hierdurch schutzwürdige Belange des Betroffenen nicht beeinträchtigt werden oder das öffentliche Interesse das Geheimhaltungsinteresse des Betroffenen überwiegt. Die Übermittlung unterbleibt, wenn besondere gesetzliche Verwendungsregelungen entgegenstehen.</w:t>
      </w:r>
    </w:p>
    <w:p>
      <w:r>
        <w:t xml:space="preserve">(5) Die Aufsichtsbehörde informiert die Ingenieurkammer-Bau Nordrhein-Westfalen über die Bestellung von Personen nach § 1, das Erlöschen deren Bestellung, die Einleitung und den Abschluss der Abwicklung deren Amtshandlungen, die Gründung und die Auflösung von Kooperationen nach § 13, getroffene Ahndungsmaßnahmen nach § 15 Absatz 1 sowie Verdachtsfälle von Verstößen gegen Berufspflichten, für die die Ingenieurkammer-Bau Nordrhein-Westfalen zuständig ist. Die Ingenieurkammer-Bau Nordrhein-Westfalen teilt der Aufsichtsbehörde die Einleitung, den Abschluss und das Ergebnis berufsgerichtlicher Verfahren sowie ihr bekannt gewordene für die Aufsicht bedeutsame Sachverhalte mit.</w:t>
      </w:r>
    </w:p>
    <w:p>
      <w:r>
        <w:t xml:space="preserve">(6) Mit Beginn der Bestellung führt die Aufsichtsbehörde eine Personalakte über den Öffentlich bestellten Vermessungsingenieur.</w:t>
      </w:r>
    </w:p>
    <w:p>
      <w:r>
        <w:t xml:space="preserve">(7) Für den sich aus der Berufsausübung des Öffentlich bestellten Vermessungsingenieurs ergebenden Aufwand des Landes, der nicht durch Gebühren abgegolten ist, wird von jedem Öffentlich bestellten Vermessungsingenieur ein jährlicher Kostenbeitrag erhoben.</w:t>
      </w:r>
    </w:p>
    <w:p>
      <w:r>
        <w:rPr>
          <w:color w:val="555555"/>
          <w:sz w:val="17"/>
        </w:rPr>
        <w:t xml:space="preserve">Zitiervorschlag: § 14 NW_31027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https://recht.nulegal.eu/gesetze/NW_31027/14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