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NW_31027 (Nordrhein-Westfalen) — Vergütung</w:t>
      </w:r>
    </w:p>
    <w:p>
      <w:r>
        <w:rPr>
          <w:color w:val="555555"/>
          <w:sz w:val="18"/>
        </w:rPr>
        <w:t xml:space="preserve">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Amtshandlungen, die sowohl von Öffentlich bestellten Vermessungsingenieuren als auch von Vermessungs- und Katasterbehörden ausgeführt werden können, sind mit den gleichen Gebühren zu vergüten.</w:t>
      </w:r>
    </w:p>
    <w:p>
      <w:r>
        <w:t xml:space="preserve">(2) In anderen Gesetzen bestehende Gebühren- und Auslagenbefreiungen gelten nicht für Amtshandlungen der Öffentlich bestellten Vermessungsingenieure. Antragsteller dieser Amtshandlungen sind bei der Antragstellung darauf hinzuweisen.</w:t>
      </w:r>
    </w:p>
    <w:p>
      <w:r>
        <w:rPr>
          <w:color w:val="555555"/>
          <w:sz w:val="17"/>
        </w:rPr>
        <w:t xml:space="preserve">Zitiervorschlag: § 10 NW_31027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