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NW_31024 (Nordrhein-Westfalen)</w:t>
      </w:r>
    </w:p>
    <w:p>
      <w:r>
        <w:rPr>
          <w:color w:val="555555"/>
          <w:sz w:val="18"/>
        </w:rPr>
        <w:t xml:space="preserve">Verordnung zur Bestimmung der für die Verfolgung und Ahndung von Ordnungswidrigkeiten nach wirtschaftsrechtlichen Vorschriften zuständigen Verwaltungsbehörden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25. März 2014</w:t>
      </w:r>
    </w:p>
    <w:p>
      <w:r>
        <w:t xml:space="preserve">Auf Grund des § 36 Absatz 2 Satz 1 des Gesetzes über Ordnungswidrigkeiten in der Fassung der Bekanntmachung vom 19. Februar 1987 (BGBl. I S. 602) verordnet die Landesregierung:</w:t>
      </w:r>
    </w:p>
    <w:p>
      <w:r>
        <w:rPr>
          <w:color w:val="555555"/>
          <w:sz w:val="17"/>
        </w:rPr>
        <w:t xml:space="preserve">Zitiervorschlag: Volltext NW_31024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https://recht.nulegal.eu/gesetze/NW_31024/volltext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