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NW_31024 (Nordrhein-Westfalen)</w:t>
      </w:r>
    </w:p>
    <w:p>
      <w:r>
        <w:rPr>
          <w:color w:val="555555"/>
          <w:sz w:val="18"/>
        </w:rPr>
        <w:t xml:space="preserve">Verordnung zur Bestimmung der für die Verfolgung und Ahndung von Ordnungswidrigkeiten nach wirtschaftsrechtlichen Vorschriften zuständigen Verwaltungsbehörden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2014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Wirtschaft, Energie, Industrie,</w:t>
      </w:r>
    </w:p>
    <w:p>
      <w:r>
        <w:t xml:space="preserve">Mittelstand und Handwerk</w:t>
      </w:r>
    </w:p>
    <w:p>
      <w:r>
        <w:rPr>
          <w:color w:val="555555"/>
          <w:sz w:val="17"/>
        </w:rPr>
        <w:t xml:space="preserve">Zitiervorschlag: § 4 NW_31024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https://recht.nulegal.eu/gesetze/NW_31024/4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