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NW_31024 (Nordrhein-Westfalen)</w:t>
      </w:r>
    </w:p>
    <w:p>
      <w:r>
        <w:rPr>
          <w:color w:val="555555"/>
          <w:sz w:val="18"/>
        </w:rPr>
        <w:t xml:space="preserve">Verordnung zur Bestimmung der für die Verfolgung und Ahndung von Ordnungswidrigkeiten nach wirtschaftsrechtlichen Vorschriften zuständigen Verwaltungsbehörden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Verfolgung und Ahndung von Ordnungswidrigkeiten nach § 3a des Gesetzes über die Gewichtsbezeichnung an schweren, auf Schiffen beförderten Frachtstücken in der im Bundesgesetzblatt Teil III, Gliederungsnummer 9518-1, veröffentlichten bereinigten Fassung in der jeweils geltenden Fassung wird auf die Hafenbehörden übertragen.</w:t>
      </w:r>
    </w:p>
    <w:p>
      <w:r>
        <w:rPr>
          <w:color w:val="555555"/>
          <w:sz w:val="17"/>
        </w:rPr>
        <w:t xml:space="preserve">Zitiervorschlag: § 3 NW_31024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