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NW_31024 (Nordrhein-Westfalen)</w:t>
      </w:r>
    </w:p>
    <w:p>
      <w:r>
        <w:rPr>
          <w:color w:val="555555"/>
          <w:sz w:val="18"/>
        </w:rPr>
        <w:t xml:space="preserve">Verordnung zur Bestimmung der für die Verfolgung und Ahndung von Ordnungswidrigkeiten nach wirtschaftsrechtlichen Vorschriften zuständigen Verwaltungsbehörden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Zuständigkeit für die Verfolgung und Ahndung von Ordnungswidrigkeiten nach</w:t>
      </w:r>
    </w:p>
    <w:p>
      <w:r>
        <w:t xml:space="preserve">1. § 405 des Aktiengesetzes vom 6. September 1965 (BGBl. I S. 1089) in der jeweils geltenden Fassung,</w:t>
      </w:r>
    </w:p>
    <w:p>
      <w:r>
        <w:t xml:space="preserve">2. § 103 des Handelsgesetzbuches in der im Bundesgesetzblatt Teil III, Gliederungsnummer 4100-1, veröffentlichten bereinigten Fassung in der jeweils geltenden Fassung,</w:t>
      </w:r>
    </w:p>
    <w:p>
      <w:r>
        <w:t xml:space="preserve">3. §§ 144 bis 144 c des Versicherungsaufsichtsgesetzes in der Fassung der Bekanntmachung vom 17. Dezember 1992 (BGBl. 1993 I S. 2) in der jeweils geltenden Fassung, soweit die Aufsicht über Versicherungsunternehmen nicht der Bundesanstalt für Finanzdienstleistungsaufsicht zusteht,</w:t>
      </w:r>
    </w:p>
    <w:p>
      <w:r>
        <w:t xml:space="preserve">4. § 23 des Schuldverschreibungsgesetzes vom 31. Juli 2009 (BGBl. I S. 2512) in der jeweils geltenden Fassung und</w:t>
      </w:r>
    </w:p>
    <w:p>
      <w:r>
        <w:t xml:space="preserve">5. § 111a des Urheberrechtsgesetzes vom 9. September 1965 (BGBl. I. S. 1273) in der jeweils geltenden Fassung</w:t>
      </w:r>
    </w:p>
    <w:p>
      <w:r>
        <w:t xml:space="preserve">wird auf die Bezirksregierungen übertragen.</w:t>
      </w:r>
    </w:p>
    <w:p>
      <w:r>
        <w:t xml:space="preserve">(2) Die Zuständigkeit für die Verfolgung und Ahndung von Ordnungswidrigkeiten nach</w:t>
      </w:r>
    </w:p>
    <w:p>
      <w:r>
        <w:t xml:space="preserve">1. § 145 Absatz 2 des Markengesetzes vom 25. Oktober 1994 (BGBl. I S. 3082; 1995 I S. 156; 1996 I S. 682) in der jeweils geltenden Fassung und</w:t>
      </w:r>
    </w:p>
    <w:p>
      <w:r>
        <w:t xml:space="preserve">2. § 2 des Wirtschaftsstrafgesetzes 1954 in der Fassung der Bekanntmachung vom 3.Juni 1975 (BGBl. I S. 1313) in der jeweils geltenden Fassung</w:t>
      </w:r>
    </w:p>
    <w:p>
      <w:r>
        <w:t xml:space="preserve">wird auf die Kreisordnungsbehörden übertragen.</w:t>
      </w:r>
    </w:p>
    <w:p>
      <w:r>
        <w:t xml:space="preserve">(3) Die Zuständigkeit für die Verfolgung und Ahndung von Ordnungswidrigkeiten nach § 8 Absatz 1 Nummer 1 Buchstabe d und e, Nummer 2 in Verbindung mit Nummer 1 Buchstabe d und e sowie Absatz 2 des Schwarzarbeitsbekämpfungsgesetzes vom 23. Juli 2004 (BGBl. I S. 1842) in der jeweils geltenden Fassung wird auf die Ordnungsbehörden der Großen kreisangehörigen Städte, im Übrigen auf die Kreisordnungsbehörden übertragen.</w:t>
      </w:r>
    </w:p>
    <w:p>
      <w:r>
        <w:t xml:space="preserve">(4) Die Zuständigkeit für die Verfolgung und Ahndung von Ordnungswidrigkeiten nach § 7 des Kristallglaskennzeichnungsgesetzes vom 25. Juni 1971 (BGBl. I S. 857) in der jeweils geltenden Fassung wird auf die örtlichen Ordnungsbehörden übertragen.</w:t>
      </w:r>
    </w:p>
    <w:p>
      <w:r>
        <w:rPr>
          <w:color w:val="555555"/>
          <w:sz w:val="17"/>
        </w:rPr>
        <w:t xml:space="preserve">Zitiervorschlag: § 1 NW_31024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https://recht.nulegal.eu/gesetze/NW_31024/1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