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NW_31002 (Nordrhein-Westfalen)</w:t>
      </w:r>
    </w:p>
    <w:p>
      <w:r>
        <w:rPr>
          <w:color w:val="555555"/>
          <w:sz w:val="18"/>
        </w:rPr>
        <w:t xml:space="preserve">Verordnung über die Ernennung, Entlassung und Zurruhesetzung der Beamtinnen und Beamten und Richterinnen und Richter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Februar 2014</w:t>
      </w:r>
    </w:p>
    <w:p>
      <w:r>
        <w:t xml:space="preserve">Auf Grund des Artikels 58 der Verfassung für das Land Nordrhein-Westfalen vom 28. Juni 1950 (GV. NRW. S. 127), des § 17 Absatz 1 Satz 2, des § 28 Absatz 1 Satz 1 und des § 36 Absatz 1 Satz 1 des Landesbeamtengesetzes in der Fassung der Bekanntmachung vom 21. April 2009 (GV. NRW. S. 224), sowie des § 4 Absatz 1 Satz 1 des Landesrichtergesetzes vom 29. März 1966 (GV. NRW. S. 217), wird verordnet:</w:t>
      </w:r>
    </w:p>
    <w:p>
      <w:r>
        <w:rPr>
          <w:color w:val="555555"/>
          <w:sz w:val="17"/>
        </w:rPr>
        <w:t xml:space="preserve">Zitiervorschlag: Volltext NW_31002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