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NW_30997 (Nordrhein-Westfalen)</w:t>
      </w:r>
    </w:p>
    <w:p>
      <w:r>
        <w:rPr>
          <w:color w:val="555555"/>
          <w:sz w:val="18"/>
        </w:rPr>
        <w:t xml:space="preserve">Gesetz über die Verleihung der Rechtsstellung einer Anstalt des öffentlichen Rechts an den Erzbischöflichen Schulfonds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Februar 2014</w:t>
      </w:r>
    </w:p>
    <w:p>
      <w:r>
        <w:t xml:space="preserve">(Artikel 3 des Gesetzes zur Neuordnung im Bereich der Schul- und Studienfonds vom 4. Februar 2014 (GV. NRW. S. 105))</w:t>
      </w:r>
    </w:p>
    <w:p>
      <w:r>
        <w:rPr>
          <w:color w:val="555555"/>
          <w:sz w:val="17"/>
        </w:rPr>
        <w:t xml:space="preserve">Zitiervorschlag: Volltext NW_30997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https://recht.nulegal.eu/gesetze/NW_30997/volltext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