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NW_30997 (Nordrhein-Westfalen) — Geltung landesrechtlicher Vorschriften</w:t>
      </w:r>
    </w:p>
    <w:p>
      <w:r>
        <w:rPr>
          <w:color w:val="555555"/>
          <w:sz w:val="18"/>
        </w:rPr>
        <w:t xml:space="preserve">Gesetz über die Verleihung der Rechtsstellung einer Anstalt des öffentlichen Rechts an den Erzbischöflichen Schulfonds Köln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Landesrechtliche Vorschriften für Religionsgemeinschaften, die den Status einer Körperschaft des öffentlichen Rechts besitzen, gelten für den als rechtsfähige Anstalt des öffentlichen Rechts errichteten „Erzbischöflichen Schulfonds Köln“ entsprechend.</w:t>
      </w:r>
    </w:p>
    <w:p>
      <w:r>
        <w:rPr>
          <w:color w:val="555555"/>
          <w:sz w:val="17"/>
        </w:rPr>
        <w:t xml:space="preserve">Zitiervorschlag: § 4 NW_30997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https://recht.nulegal.eu/gesetze/NW_30997/4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